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4D72F0" w:rsidRPr="00625958" w14:paraId="69C3F715"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6F296AC" w14:textId="77777777" w:rsidR="004D72F0" w:rsidRPr="00625958" w:rsidRDefault="004D72F0" w:rsidP="004017AE">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38B157B" w14:textId="77777777" w:rsidR="004D72F0" w:rsidRPr="00625958" w:rsidRDefault="004D72F0" w:rsidP="004017AE">
            <w:pPr>
              <w:ind w:right="432"/>
              <w:rPr>
                <w:sz w:val="18"/>
                <w:szCs w:val="18"/>
              </w:rPr>
            </w:pPr>
            <w:r w:rsidRPr="00625958">
              <w:rPr>
                <w:sz w:val="18"/>
                <w:szCs w:val="18"/>
              </w:rPr>
              <w:t>J.P. Morgan Bank Luxembourg S.A. (7W1GMC6J4KGLBBUSYP52)</w:t>
            </w:r>
          </w:p>
        </w:tc>
      </w:tr>
      <w:tr w:rsidR="004D72F0" w:rsidRPr="00625958" w14:paraId="0BD82FEC"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DEAD3F2" w14:textId="77777777" w:rsidR="004D72F0" w:rsidRPr="00625958" w:rsidRDefault="004D72F0" w:rsidP="004017AE">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4D1B34B" w14:textId="77777777" w:rsidR="004D72F0" w:rsidRPr="00625958" w:rsidRDefault="004D72F0" w:rsidP="004017AE">
            <w:pPr>
              <w:rPr>
                <w:color w:val="0000FF"/>
                <w:sz w:val="18"/>
                <w:szCs w:val="18"/>
              </w:rPr>
            </w:pPr>
            <w:r w:rsidRPr="00625958">
              <w:rPr>
                <w:sz w:val="18"/>
                <w:szCs w:val="18"/>
                <w:lang w:val="en-US"/>
              </w:rPr>
              <w:t xml:space="preserve">Other instruments </w:t>
            </w:r>
          </w:p>
        </w:tc>
      </w:tr>
      <w:tr w:rsidR="004D72F0" w:rsidRPr="00625958" w14:paraId="169ADC2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FB324E2" w14:textId="77777777" w:rsidR="004D72F0" w:rsidRPr="00625958" w:rsidRDefault="004D72F0" w:rsidP="004017AE">
            <w:pPr>
              <w:jc w:val="center"/>
              <w:rPr>
                <w:sz w:val="18"/>
                <w:szCs w:val="18"/>
              </w:rPr>
            </w:pPr>
            <w:r w:rsidRPr="00625958">
              <w:rPr>
                <w:sz w:val="18"/>
                <w:szCs w:val="18"/>
              </w:rPr>
              <w:t>Summary of Analysis</w:t>
            </w:r>
          </w:p>
        </w:tc>
      </w:tr>
      <w:tr w:rsidR="004D72F0" w:rsidRPr="00625958" w14:paraId="48C2270D" w14:textId="77777777" w:rsidTr="004017AE">
        <w:tc>
          <w:tcPr>
            <w:tcW w:w="14400" w:type="dxa"/>
            <w:gridSpan w:val="2"/>
            <w:tcBorders>
              <w:left w:val="single" w:sz="12" w:space="0" w:color="auto"/>
              <w:right w:val="single" w:sz="12" w:space="0" w:color="auto"/>
            </w:tcBorders>
          </w:tcPr>
          <w:p w14:paraId="27899E87" w14:textId="7E5F5372" w:rsidR="00B27941" w:rsidRPr="00625958" w:rsidRDefault="00A87D42" w:rsidP="00B27941">
            <w:pPr>
              <w:contextualSpacing/>
              <w:rPr>
                <w:b/>
                <w:sz w:val="18"/>
                <w:szCs w:val="18"/>
                <w:u w:val="single"/>
              </w:rPr>
            </w:pPr>
            <w:r w:rsidRPr="00625958">
              <w:rPr>
                <w:b/>
                <w:sz w:val="18"/>
                <w:szCs w:val="18"/>
                <w:u w:val="single"/>
              </w:rPr>
              <w:t>J.P. Morgan Bank Luxembourg</w:t>
            </w:r>
            <w:r w:rsidR="00976AE9" w:rsidRPr="00625958">
              <w:rPr>
                <w:b/>
                <w:sz w:val="18"/>
                <w:szCs w:val="18"/>
                <w:u w:val="single"/>
              </w:rPr>
              <w:t xml:space="preserve"> S.A.</w:t>
            </w:r>
            <w:r w:rsidRPr="00625958">
              <w:rPr>
                <w:b/>
                <w:sz w:val="18"/>
                <w:szCs w:val="18"/>
                <w:u w:val="single"/>
              </w:rPr>
              <w:t>:</w:t>
            </w:r>
            <w:r w:rsidR="00B27941" w:rsidRPr="00625958">
              <w:rPr>
                <w:b/>
                <w:sz w:val="18"/>
                <w:szCs w:val="18"/>
                <w:u w:val="single"/>
              </w:rPr>
              <w:t xml:space="preserve"> Fund Order Routing and Settlement Services business (“FORSS”):</w:t>
            </w:r>
          </w:p>
          <w:p w14:paraId="64FAEBFD" w14:textId="36280C29" w:rsidR="00B27941" w:rsidRPr="00625958" w:rsidRDefault="00B27941" w:rsidP="00B27941">
            <w:pPr>
              <w:rPr>
                <w:sz w:val="18"/>
                <w:szCs w:val="18"/>
              </w:rPr>
            </w:pPr>
            <w:r w:rsidRPr="00625958">
              <w:rPr>
                <w:sz w:val="18"/>
                <w:szCs w:val="18"/>
              </w:rPr>
              <w:t>Within our fund order routing services product offering, currently an execution will arise on client instructions to subscribe for, or redeem, units in certain funds. In the year 201</w:t>
            </w:r>
            <w:r w:rsidR="007559B0" w:rsidRPr="00625958">
              <w:rPr>
                <w:sz w:val="18"/>
                <w:szCs w:val="18"/>
              </w:rPr>
              <w:t>9</w:t>
            </w:r>
            <w:r w:rsidRPr="00625958">
              <w:rPr>
                <w:sz w:val="18"/>
                <w:szCs w:val="18"/>
              </w:rPr>
              <w:t xml:space="preserve">, our review found the obligation of Best Execution was met in each case.  The application was monitored by J.P. Morgan on a regular basis, through post-trade controls performed by the business which were monitored at the </w:t>
            </w:r>
            <w:r w:rsidR="00F82172" w:rsidRPr="00625958">
              <w:rPr>
                <w:sz w:val="18"/>
                <w:szCs w:val="18"/>
              </w:rPr>
              <w:t xml:space="preserve">relevant Securities Services Control forum. </w:t>
            </w:r>
            <w:r w:rsidRPr="00625958">
              <w:rPr>
                <w:sz w:val="18"/>
                <w:szCs w:val="18"/>
              </w:rPr>
              <w:t xml:space="preserve">This monitoring identified execution situations which are potentially subject to Best Execution and also monitored the correct application of the decision making process. </w:t>
            </w:r>
          </w:p>
          <w:p w14:paraId="1029A7CD" w14:textId="3E1E4016" w:rsidR="00812669" w:rsidRPr="00625958" w:rsidRDefault="00812669" w:rsidP="00812669">
            <w:pPr>
              <w:spacing w:after="200"/>
              <w:contextualSpacing/>
              <w:rPr>
                <w:b/>
                <w:sz w:val="18"/>
                <w:szCs w:val="18"/>
                <w:u w:val="single"/>
              </w:rPr>
            </w:pPr>
            <w:r w:rsidRPr="00625958">
              <w:rPr>
                <w:b/>
                <w:sz w:val="18"/>
                <w:szCs w:val="18"/>
                <w:u w:val="single"/>
              </w:rPr>
              <w:t>J.P. Morgan Bank Luxembourg</w:t>
            </w:r>
            <w:r w:rsidR="0099558D" w:rsidRPr="00625958">
              <w:rPr>
                <w:b/>
                <w:sz w:val="18"/>
                <w:szCs w:val="18"/>
                <w:u w:val="single"/>
              </w:rPr>
              <w:t xml:space="preserve"> S.A.</w:t>
            </w:r>
            <w:r w:rsidRPr="00625958">
              <w:rPr>
                <w:b/>
                <w:sz w:val="18"/>
                <w:szCs w:val="18"/>
                <w:u w:val="single"/>
              </w:rPr>
              <w:t>: Liquidity Services (“Liquidity Services”):</w:t>
            </w:r>
          </w:p>
          <w:p w14:paraId="474249AE" w14:textId="0404D0A3" w:rsidR="00812669" w:rsidRPr="00625958" w:rsidRDefault="00812669" w:rsidP="00B511D7">
            <w:pPr>
              <w:spacing w:after="200"/>
              <w:contextualSpacing/>
              <w:rPr>
                <w:color w:val="000000" w:themeColor="text1"/>
                <w:sz w:val="18"/>
                <w:szCs w:val="18"/>
              </w:rPr>
            </w:pPr>
            <w:r w:rsidRPr="00625958">
              <w:rPr>
                <w:sz w:val="18"/>
                <w:szCs w:val="18"/>
              </w:rPr>
              <w:t>J.P. Morgan Bank Luxembourg S.A. provides its Securities Services clients with a market leading technology platform for automated investment of clients’ excess cas</w:t>
            </w:r>
            <w:r w:rsidR="00F113C6" w:rsidRPr="00625958">
              <w:rPr>
                <w:sz w:val="18"/>
                <w:szCs w:val="18"/>
              </w:rPr>
              <w:t>h into money market funds. The automated investment</w:t>
            </w:r>
            <w:r w:rsidRPr="00625958">
              <w:rPr>
                <w:sz w:val="18"/>
                <w:szCs w:val="18"/>
              </w:rPr>
              <w:t xml:space="preserve"> 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2019 there have not been any material incidents to jeopardise the </w:t>
            </w:r>
            <w:r w:rsidR="00F71F61" w:rsidRPr="00625958">
              <w:rPr>
                <w:sz w:val="18"/>
                <w:szCs w:val="18"/>
              </w:rPr>
              <w:t>J.P. Morgan Bank Luxembourg S.A</w:t>
            </w:r>
            <w:r w:rsidRPr="00625958">
              <w:rPr>
                <w:sz w:val="18"/>
                <w:szCs w:val="18"/>
              </w:rPr>
              <w:t xml:space="preserve">’s Best Execution </w:t>
            </w:r>
            <w:r w:rsidRPr="00625958">
              <w:rPr>
                <w:color w:val="000000" w:themeColor="text1"/>
                <w:sz w:val="18"/>
                <w:szCs w:val="18"/>
              </w:rPr>
              <w:t>obligations. Monitoring of execution and follow up reconciliation seek to ensure that speed of execution is maintained at the expected level.</w:t>
            </w:r>
          </w:p>
          <w:p w14:paraId="3A41BC48" w14:textId="66AF0ED6" w:rsidR="00812669" w:rsidRPr="00625958" w:rsidRDefault="00B511D7" w:rsidP="00B511D7">
            <w:pPr>
              <w:spacing w:after="200"/>
              <w:contextualSpacing/>
              <w:rPr>
                <w:b/>
                <w:color w:val="000000" w:themeColor="text1"/>
                <w:sz w:val="18"/>
                <w:szCs w:val="18"/>
                <w:u w:val="single"/>
              </w:rPr>
            </w:pPr>
            <w:r w:rsidRPr="00625958">
              <w:rPr>
                <w:b/>
                <w:color w:val="000000" w:themeColor="text1"/>
                <w:sz w:val="18"/>
                <w:szCs w:val="18"/>
                <w:u w:val="single"/>
              </w:rPr>
              <w:t>J.P. Morgan Bank Luxembourg</w:t>
            </w:r>
            <w:r w:rsidR="0099558D" w:rsidRPr="00625958">
              <w:rPr>
                <w:b/>
                <w:color w:val="000000" w:themeColor="text1"/>
                <w:sz w:val="18"/>
                <w:szCs w:val="18"/>
                <w:u w:val="single"/>
              </w:rPr>
              <w:t xml:space="preserve"> S.A.</w:t>
            </w:r>
            <w:r w:rsidRPr="00625958">
              <w:rPr>
                <w:b/>
                <w:color w:val="000000" w:themeColor="text1"/>
                <w:sz w:val="18"/>
                <w:szCs w:val="18"/>
                <w:u w:val="single"/>
              </w:rPr>
              <w:t xml:space="preserve">: </w:t>
            </w:r>
            <w:r w:rsidR="00084D21">
              <w:rPr>
                <w:b/>
                <w:color w:val="000000" w:themeColor="text1"/>
                <w:sz w:val="18"/>
                <w:szCs w:val="18"/>
                <w:u w:val="single"/>
              </w:rPr>
              <w:t xml:space="preserve">Agency Securities Lending business </w:t>
            </w:r>
            <w:r w:rsidR="00F51D0D" w:rsidRPr="00625958">
              <w:rPr>
                <w:b/>
                <w:color w:val="000000" w:themeColor="text1"/>
                <w:sz w:val="18"/>
                <w:szCs w:val="18"/>
                <w:u w:val="single"/>
              </w:rPr>
              <w:t>(“</w:t>
            </w:r>
            <w:r w:rsidRPr="00625958">
              <w:rPr>
                <w:b/>
                <w:color w:val="000000" w:themeColor="text1"/>
                <w:sz w:val="18"/>
                <w:szCs w:val="18"/>
                <w:u w:val="single"/>
              </w:rPr>
              <w:t xml:space="preserve">Agency </w:t>
            </w:r>
            <w:r w:rsidR="00084D21">
              <w:rPr>
                <w:b/>
                <w:color w:val="000000" w:themeColor="text1"/>
                <w:sz w:val="18"/>
                <w:szCs w:val="18"/>
                <w:u w:val="single"/>
              </w:rPr>
              <w:t xml:space="preserve">Securities </w:t>
            </w:r>
            <w:r w:rsidRPr="00625958">
              <w:rPr>
                <w:b/>
                <w:color w:val="000000" w:themeColor="text1"/>
                <w:sz w:val="18"/>
                <w:szCs w:val="18"/>
                <w:u w:val="single"/>
              </w:rPr>
              <w:t>Lending</w:t>
            </w:r>
            <w:r w:rsidR="00F51D0D" w:rsidRPr="00625958">
              <w:rPr>
                <w:b/>
                <w:color w:val="000000" w:themeColor="text1"/>
                <w:sz w:val="18"/>
                <w:szCs w:val="18"/>
                <w:u w:val="single"/>
              </w:rPr>
              <w:t>”</w:t>
            </w:r>
            <w:r w:rsidR="00812669" w:rsidRPr="00625958">
              <w:rPr>
                <w:b/>
                <w:color w:val="000000" w:themeColor="text1"/>
                <w:sz w:val="18"/>
                <w:szCs w:val="18"/>
                <w:u w:val="single"/>
              </w:rPr>
              <w:t>)</w:t>
            </w:r>
            <w:r w:rsidRPr="00625958">
              <w:rPr>
                <w:b/>
                <w:color w:val="000000" w:themeColor="text1"/>
                <w:sz w:val="18"/>
                <w:szCs w:val="18"/>
                <w:u w:val="single"/>
              </w:rPr>
              <w:t>:</w:t>
            </w:r>
          </w:p>
          <w:p w14:paraId="64270A47" w14:textId="24173A20" w:rsidR="00811842" w:rsidRPr="00625958" w:rsidRDefault="00C05144" w:rsidP="0009740E">
            <w:pPr>
              <w:jc w:val="both"/>
              <w:rPr>
                <w:sz w:val="18"/>
                <w:szCs w:val="18"/>
              </w:rPr>
            </w:pPr>
            <w:r w:rsidRPr="00625958">
              <w:rPr>
                <w:sz w:val="18"/>
                <w:szCs w:val="18"/>
              </w:rPr>
              <w:t>For the year of 2019 J.P. Morgan Bank Luxembourg S.A. Agency Securities Lending business operated in an agency capacity. Client orders are defined by contractual arrangements</w:t>
            </w:r>
            <w:r w:rsidR="0009740E" w:rsidRPr="00625958">
              <w:rPr>
                <w:sz w:val="18"/>
                <w:szCs w:val="18"/>
              </w:rPr>
              <w:t xml:space="preserve"> (Securities Lending Agreement). A</w:t>
            </w:r>
            <w:r w:rsidRPr="00625958">
              <w:rPr>
                <w:sz w:val="18"/>
                <w:szCs w:val="18"/>
              </w:rPr>
              <w:t xml:space="preserve"> ‘standing order’ is received by every in-scope client prior to their entry into the securities lending programme</w:t>
            </w:r>
            <w:r w:rsidR="0099558D" w:rsidRPr="00625958">
              <w:rPr>
                <w:sz w:val="18"/>
                <w:szCs w:val="18"/>
              </w:rPr>
              <w:t>. </w:t>
            </w:r>
            <w:r w:rsidRPr="00625958">
              <w:rPr>
                <w:sz w:val="18"/>
                <w:szCs w:val="18"/>
              </w:rPr>
              <w:t xml:space="preserve">For the </w:t>
            </w:r>
            <w:r w:rsidR="0099558D" w:rsidRPr="00625958">
              <w:rPr>
                <w:sz w:val="18"/>
                <w:szCs w:val="18"/>
              </w:rPr>
              <w:t xml:space="preserve">J.P. Morgan Bank Luxembourg S.A. Agency Securities Lending </w:t>
            </w:r>
            <w:r w:rsidR="00AA12A4" w:rsidRPr="00625958">
              <w:rPr>
                <w:sz w:val="18"/>
                <w:szCs w:val="18"/>
              </w:rPr>
              <w:t>business</w:t>
            </w:r>
            <w:r w:rsidRPr="00625958">
              <w:rPr>
                <w:sz w:val="18"/>
                <w:szCs w:val="18"/>
              </w:rPr>
              <w:t>, Best Execution was monitored by performing p</w:t>
            </w:r>
            <w:r w:rsidR="0099558D" w:rsidRPr="00625958">
              <w:rPr>
                <w:sz w:val="18"/>
                <w:szCs w:val="18"/>
              </w:rPr>
              <w:t>ost-</w:t>
            </w:r>
            <w:r w:rsidRPr="00625958">
              <w:rPr>
                <w:sz w:val="18"/>
                <w:szCs w:val="18"/>
              </w:rPr>
              <w:t xml:space="preserve">trade checks using </w:t>
            </w:r>
            <w:r w:rsidRPr="00625958">
              <w:rPr>
                <w:color w:val="000000" w:themeColor="text1"/>
                <w:sz w:val="18"/>
                <w:szCs w:val="18"/>
              </w:rPr>
              <w:t xml:space="preserve">exception reporting whereby current fees/rebates of open loans are compared to rates supplied by a third party vendor transactions to identify outliers. </w:t>
            </w:r>
            <w:r w:rsidRPr="00625958">
              <w:rPr>
                <w:sz w:val="18"/>
                <w:szCs w:val="18"/>
              </w:rPr>
              <w:t>For all in scope transactions, the review found that</w:t>
            </w:r>
            <w:r w:rsidRPr="00625958">
              <w:rPr>
                <w:color w:val="FF0000"/>
                <w:sz w:val="18"/>
                <w:szCs w:val="18"/>
              </w:rPr>
              <w:t xml:space="preserve"> </w:t>
            </w:r>
            <w:r w:rsidRPr="00625958">
              <w:rPr>
                <w:sz w:val="18"/>
                <w:szCs w:val="18"/>
              </w:rPr>
              <w:t xml:space="preserve">the obligation of Best Execution was met and that the correct decision making process was followed. </w:t>
            </w:r>
            <w:r w:rsidRPr="00625958">
              <w:rPr>
                <w:color w:val="000000" w:themeColor="text1"/>
                <w:sz w:val="18"/>
                <w:szCs w:val="18"/>
              </w:rPr>
              <w:t> </w:t>
            </w:r>
          </w:p>
        </w:tc>
      </w:tr>
      <w:tr w:rsidR="004D72F0" w:rsidRPr="00625958" w14:paraId="5BB76DD6" w14:textId="77777777" w:rsidTr="004017AE">
        <w:tc>
          <w:tcPr>
            <w:tcW w:w="4410" w:type="dxa"/>
            <w:tcBorders>
              <w:left w:val="single" w:sz="12" w:space="0" w:color="auto"/>
            </w:tcBorders>
            <w:shd w:val="clear" w:color="auto" w:fill="D9D9D9" w:themeFill="background1" w:themeFillShade="D9"/>
          </w:tcPr>
          <w:p w14:paraId="5B60EEB8" w14:textId="77777777" w:rsidR="004D72F0" w:rsidRPr="00625958" w:rsidRDefault="004D72F0" w:rsidP="004017AE">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30B2F03F" w14:textId="64D91416" w:rsidR="004D72F0" w:rsidRPr="00625958" w:rsidRDefault="00B511D7" w:rsidP="00C366AA">
            <w:pPr>
              <w:spacing w:after="120"/>
              <w:jc w:val="both"/>
              <w:rPr>
                <w:sz w:val="18"/>
                <w:szCs w:val="18"/>
              </w:rPr>
            </w:pPr>
            <w:r w:rsidRPr="00625958">
              <w:rPr>
                <w:sz w:val="18"/>
                <w:szCs w:val="18"/>
              </w:rPr>
              <w:t xml:space="preserve">Please refer to </w:t>
            </w:r>
            <w:r w:rsidR="00F82172" w:rsidRPr="00625958">
              <w:rPr>
                <w:sz w:val="18"/>
                <w:szCs w:val="18"/>
              </w:rPr>
              <w:t xml:space="preserve">the </w:t>
            </w:r>
            <w:r w:rsidRPr="00625958">
              <w:rPr>
                <w:sz w:val="18"/>
                <w:szCs w:val="18"/>
              </w:rPr>
              <w:t xml:space="preserve">Execution Policy - </w:t>
            </w:r>
            <w:hyperlink r:id="rId9" w:history="1">
              <w:r w:rsidR="00842FCB" w:rsidRPr="00625958">
                <w:rPr>
                  <w:rStyle w:val="Hyperlink"/>
                  <w:sz w:val="18"/>
                  <w:szCs w:val="18"/>
                </w:rPr>
                <w:t>J.P. Morgan EMEA Securities Services: Execution Policy</w:t>
              </w:r>
            </w:hyperlink>
            <w:r w:rsidRPr="00625958">
              <w:rPr>
                <w:sz w:val="18"/>
                <w:szCs w:val="18"/>
              </w:rPr>
              <w:t>.</w:t>
            </w:r>
            <w:r w:rsidRPr="00625958">
              <w:rPr>
                <w:b/>
                <w:sz w:val="18"/>
                <w:szCs w:val="18"/>
              </w:rPr>
              <w:t xml:space="preserve"> </w:t>
            </w:r>
            <w:r w:rsidRPr="00625958">
              <w:rPr>
                <w:sz w:val="18"/>
                <w:szCs w:val="18"/>
              </w:rPr>
              <w:t>In this policy, page 7 details the considerations for the key execution factors and page 11 details the factors affecting Agency</w:t>
            </w:r>
            <w:r w:rsidR="00084D21">
              <w:rPr>
                <w:sz w:val="18"/>
                <w:szCs w:val="18"/>
              </w:rPr>
              <w:t xml:space="preserve"> Securities</w:t>
            </w:r>
            <w:r w:rsidRPr="00625958">
              <w:rPr>
                <w:sz w:val="18"/>
                <w:szCs w:val="18"/>
              </w:rPr>
              <w:t xml:space="preserve"> Lending choice of execution venues.</w:t>
            </w:r>
          </w:p>
        </w:tc>
      </w:tr>
      <w:tr w:rsidR="004D72F0" w:rsidRPr="00625958" w14:paraId="375475E4" w14:textId="77777777" w:rsidTr="004017AE">
        <w:trPr>
          <w:trHeight w:val="485"/>
        </w:trPr>
        <w:tc>
          <w:tcPr>
            <w:tcW w:w="4410" w:type="dxa"/>
            <w:tcBorders>
              <w:left w:val="single" w:sz="12" w:space="0" w:color="auto"/>
            </w:tcBorders>
            <w:shd w:val="clear" w:color="auto" w:fill="D9D9D9" w:themeFill="background1" w:themeFillShade="D9"/>
          </w:tcPr>
          <w:p w14:paraId="26FD997D" w14:textId="77777777" w:rsidR="004D72F0" w:rsidRPr="00625958" w:rsidRDefault="004D72F0" w:rsidP="004017AE">
            <w:pPr>
              <w:rPr>
                <w:color w:val="000000" w:themeColor="text1"/>
                <w:sz w:val="18"/>
                <w:szCs w:val="18"/>
              </w:rPr>
            </w:pPr>
            <w:r w:rsidRPr="00625958">
              <w:rPr>
                <w:color w:val="000000" w:themeColor="text1"/>
                <w:sz w:val="18"/>
                <w:szCs w:val="18"/>
              </w:rPr>
              <w:t>Execution venue close links / conflicts of interest / common ownerships</w:t>
            </w:r>
          </w:p>
        </w:tc>
        <w:tc>
          <w:tcPr>
            <w:tcW w:w="9990" w:type="dxa"/>
            <w:tcBorders>
              <w:right w:val="single" w:sz="12" w:space="0" w:color="auto"/>
            </w:tcBorders>
          </w:tcPr>
          <w:p w14:paraId="0A796B79" w14:textId="77777777" w:rsidR="00B27941" w:rsidRPr="00625958" w:rsidRDefault="00B27941" w:rsidP="00B27941">
            <w:pPr>
              <w:rPr>
                <w:b/>
                <w:color w:val="000000" w:themeColor="text1"/>
                <w:sz w:val="18"/>
                <w:szCs w:val="18"/>
                <w:u w:val="single"/>
              </w:rPr>
            </w:pPr>
            <w:r w:rsidRPr="00625958">
              <w:rPr>
                <w:b/>
                <w:color w:val="000000" w:themeColor="text1"/>
                <w:sz w:val="18"/>
                <w:szCs w:val="18"/>
                <w:u w:val="single"/>
              </w:rPr>
              <w:t>FORSS:</w:t>
            </w:r>
          </w:p>
          <w:p w14:paraId="6F1CC00B" w14:textId="77777777" w:rsidR="00B27941" w:rsidRPr="00625958" w:rsidRDefault="00B27941" w:rsidP="00B27941">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p w14:paraId="3D0063F3" w14:textId="77777777" w:rsidR="00B27941" w:rsidRPr="00625958" w:rsidRDefault="00B27941" w:rsidP="00B27941">
            <w:pPr>
              <w:rPr>
                <w:color w:val="000000" w:themeColor="text1"/>
                <w:sz w:val="18"/>
                <w:szCs w:val="18"/>
              </w:rPr>
            </w:pPr>
          </w:p>
          <w:p w14:paraId="53074827" w14:textId="77777777" w:rsidR="00B27941" w:rsidRPr="00625958" w:rsidRDefault="00B27941" w:rsidP="00B27941">
            <w:pPr>
              <w:rPr>
                <w:b/>
                <w:color w:val="000000" w:themeColor="text1"/>
                <w:sz w:val="18"/>
                <w:szCs w:val="18"/>
                <w:u w:val="single"/>
              </w:rPr>
            </w:pPr>
            <w:r w:rsidRPr="00625958">
              <w:rPr>
                <w:b/>
                <w:color w:val="000000" w:themeColor="text1"/>
                <w:sz w:val="18"/>
                <w:szCs w:val="18"/>
                <w:u w:val="single"/>
              </w:rPr>
              <w:t>Liquidity Services:</w:t>
            </w:r>
          </w:p>
          <w:p w14:paraId="2011BCBA" w14:textId="77777777" w:rsidR="004D72F0" w:rsidRPr="00625958" w:rsidRDefault="00B27941" w:rsidP="004017AE">
            <w:pPr>
              <w:rPr>
                <w:color w:val="000000" w:themeColor="text1"/>
                <w:sz w:val="18"/>
                <w:szCs w:val="18"/>
              </w:rPr>
            </w:pPr>
            <w:r w:rsidRPr="00625958">
              <w:rPr>
                <w:color w:val="000000" w:themeColor="text1"/>
                <w:sz w:val="18"/>
                <w:szCs w:val="18"/>
              </w:rPr>
              <w:t>Not Applicable</w:t>
            </w:r>
          </w:p>
          <w:p w14:paraId="6381FEF7" w14:textId="77777777" w:rsidR="00B511D7" w:rsidRPr="00625958" w:rsidRDefault="00B511D7" w:rsidP="004017AE">
            <w:pPr>
              <w:rPr>
                <w:color w:val="000000" w:themeColor="text1"/>
                <w:sz w:val="18"/>
                <w:szCs w:val="18"/>
              </w:rPr>
            </w:pPr>
          </w:p>
          <w:p w14:paraId="2D3F9ED7" w14:textId="76E482DB" w:rsidR="00B511D7" w:rsidRPr="00625958" w:rsidRDefault="00B511D7" w:rsidP="00B511D7">
            <w:pPr>
              <w:spacing w:after="200"/>
              <w:contextualSpacing/>
              <w:rPr>
                <w:b/>
                <w:color w:val="000000" w:themeColor="text1"/>
                <w:sz w:val="18"/>
                <w:szCs w:val="18"/>
                <w:u w:val="single"/>
              </w:rPr>
            </w:pPr>
            <w:r w:rsidRPr="00625958">
              <w:rPr>
                <w:b/>
                <w:color w:val="000000" w:themeColor="text1"/>
                <w:sz w:val="18"/>
                <w:szCs w:val="18"/>
                <w:u w:val="single"/>
              </w:rPr>
              <w:t xml:space="preserve">Agency </w:t>
            </w:r>
            <w:r w:rsidR="00084D21">
              <w:rPr>
                <w:b/>
                <w:color w:val="000000" w:themeColor="text1"/>
                <w:sz w:val="18"/>
                <w:szCs w:val="18"/>
                <w:u w:val="single"/>
              </w:rPr>
              <w:t xml:space="preserve">Securities </w:t>
            </w:r>
            <w:r w:rsidRPr="00625958">
              <w:rPr>
                <w:b/>
                <w:color w:val="000000" w:themeColor="text1"/>
                <w:sz w:val="18"/>
                <w:szCs w:val="18"/>
                <w:u w:val="single"/>
              </w:rPr>
              <w:t>Lending:</w:t>
            </w:r>
          </w:p>
          <w:p w14:paraId="21D96D37" w14:textId="2BA817E3" w:rsidR="00B511D7" w:rsidRPr="00625958" w:rsidRDefault="00B511D7" w:rsidP="004017AE">
            <w:pPr>
              <w:rPr>
                <w:color w:val="000000" w:themeColor="text1"/>
                <w:sz w:val="18"/>
                <w:szCs w:val="18"/>
              </w:rPr>
            </w:pPr>
            <w:r w:rsidRPr="00625958">
              <w:rPr>
                <w:color w:val="000000" w:themeColor="text1"/>
                <w:sz w:val="18"/>
                <w:szCs w:val="18"/>
              </w:rPr>
              <w:t>Not Applicable</w:t>
            </w:r>
          </w:p>
          <w:p w14:paraId="7D2609D7" w14:textId="02651668" w:rsidR="00B511D7" w:rsidRPr="00625958" w:rsidRDefault="00B511D7" w:rsidP="004017AE">
            <w:pPr>
              <w:rPr>
                <w:color w:val="000000" w:themeColor="text1"/>
                <w:sz w:val="18"/>
                <w:szCs w:val="18"/>
              </w:rPr>
            </w:pPr>
          </w:p>
        </w:tc>
      </w:tr>
      <w:tr w:rsidR="004D72F0" w:rsidRPr="00625958" w14:paraId="22536212" w14:textId="77777777" w:rsidTr="004017AE">
        <w:tc>
          <w:tcPr>
            <w:tcW w:w="4410" w:type="dxa"/>
            <w:tcBorders>
              <w:left w:val="single" w:sz="12" w:space="0" w:color="auto"/>
            </w:tcBorders>
            <w:shd w:val="clear" w:color="auto" w:fill="D9D9D9" w:themeFill="background1" w:themeFillShade="D9"/>
          </w:tcPr>
          <w:p w14:paraId="3E3B7E2D" w14:textId="77777777" w:rsidR="004D72F0" w:rsidRPr="00625958" w:rsidRDefault="004D72F0" w:rsidP="004017AE">
            <w:pPr>
              <w:rPr>
                <w:sz w:val="18"/>
                <w:szCs w:val="18"/>
              </w:rPr>
            </w:pPr>
            <w:r w:rsidRPr="00625958">
              <w:rPr>
                <w:sz w:val="18"/>
                <w:szCs w:val="18"/>
              </w:rPr>
              <w:t>Specific execution venue arrangements</w:t>
            </w:r>
          </w:p>
        </w:tc>
        <w:tc>
          <w:tcPr>
            <w:tcW w:w="9990" w:type="dxa"/>
            <w:tcBorders>
              <w:right w:val="single" w:sz="12" w:space="0" w:color="auto"/>
            </w:tcBorders>
          </w:tcPr>
          <w:p w14:paraId="0B644FBB" w14:textId="77777777" w:rsidR="004D72F0" w:rsidRPr="00625958" w:rsidRDefault="004D72F0" w:rsidP="004017AE">
            <w:pPr>
              <w:rPr>
                <w:i/>
                <w:sz w:val="18"/>
                <w:szCs w:val="18"/>
              </w:rPr>
            </w:pPr>
            <w:r w:rsidRPr="00625958">
              <w:rPr>
                <w:sz w:val="18"/>
                <w:szCs w:val="18"/>
              </w:rPr>
              <w:t xml:space="preserve">Not Applicable </w:t>
            </w:r>
          </w:p>
        </w:tc>
      </w:tr>
      <w:tr w:rsidR="004D72F0" w:rsidRPr="00625958" w14:paraId="76B7A962" w14:textId="77777777" w:rsidTr="004017AE">
        <w:trPr>
          <w:trHeight w:val="368"/>
        </w:trPr>
        <w:tc>
          <w:tcPr>
            <w:tcW w:w="4410" w:type="dxa"/>
            <w:tcBorders>
              <w:left w:val="single" w:sz="12" w:space="0" w:color="auto"/>
            </w:tcBorders>
            <w:shd w:val="clear" w:color="auto" w:fill="D9D9D9" w:themeFill="background1" w:themeFillShade="D9"/>
          </w:tcPr>
          <w:p w14:paraId="73E61BA9" w14:textId="77777777" w:rsidR="004D72F0" w:rsidRPr="00625958" w:rsidRDefault="004D72F0" w:rsidP="004017AE">
            <w:pPr>
              <w:rPr>
                <w:sz w:val="18"/>
                <w:szCs w:val="18"/>
              </w:rPr>
            </w:pPr>
            <w:r w:rsidRPr="00625958">
              <w:rPr>
                <w:sz w:val="18"/>
                <w:szCs w:val="18"/>
              </w:rPr>
              <w:t>Changes to execution venues</w:t>
            </w:r>
          </w:p>
        </w:tc>
        <w:tc>
          <w:tcPr>
            <w:tcW w:w="9990" w:type="dxa"/>
            <w:tcBorders>
              <w:right w:val="single" w:sz="12" w:space="0" w:color="auto"/>
            </w:tcBorders>
          </w:tcPr>
          <w:p w14:paraId="3BD5D66F" w14:textId="377CF6DB" w:rsidR="00C05144" w:rsidRPr="00625958" w:rsidRDefault="00C05144" w:rsidP="00C05144">
            <w:pPr>
              <w:spacing w:after="200"/>
              <w:contextualSpacing/>
              <w:rPr>
                <w:b/>
                <w:color w:val="000000" w:themeColor="text1"/>
                <w:sz w:val="18"/>
                <w:szCs w:val="18"/>
                <w:u w:val="single"/>
              </w:rPr>
            </w:pPr>
            <w:r w:rsidRPr="00625958">
              <w:rPr>
                <w:b/>
                <w:color w:val="000000" w:themeColor="text1"/>
                <w:sz w:val="18"/>
                <w:szCs w:val="18"/>
                <w:u w:val="single"/>
              </w:rPr>
              <w:t>Agency</w:t>
            </w:r>
            <w:r w:rsidR="00084D21">
              <w:rPr>
                <w:b/>
                <w:color w:val="000000" w:themeColor="text1"/>
                <w:sz w:val="18"/>
                <w:szCs w:val="18"/>
                <w:u w:val="single"/>
              </w:rPr>
              <w:t xml:space="preserve"> Securities</w:t>
            </w:r>
            <w:r w:rsidRPr="00625958">
              <w:rPr>
                <w:b/>
                <w:color w:val="000000" w:themeColor="text1"/>
                <w:sz w:val="18"/>
                <w:szCs w:val="18"/>
                <w:u w:val="single"/>
              </w:rPr>
              <w:t xml:space="preserve"> Lending:</w:t>
            </w:r>
          </w:p>
          <w:p w14:paraId="7307E626" w14:textId="2D8E3024" w:rsidR="004D72F0" w:rsidRPr="00625958" w:rsidRDefault="00C05144" w:rsidP="007559B0">
            <w:pPr>
              <w:rPr>
                <w:sz w:val="18"/>
                <w:szCs w:val="18"/>
              </w:rPr>
            </w:pPr>
            <w:r w:rsidRPr="00625958">
              <w:rPr>
                <w:sz w:val="18"/>
                <w:szCs w:val="18"/>
              </w:rPr>
              <w:t xml:space="preserve">The list of execution venues can be found at </w:t>
            </w:r>
            <w:hyperlink r:id="rId10" w:history="1">
              <w:r w:rsidRPr="00625958">
                <w:rPr>
                  <w:rStyle w:val="Hyperlink"/>
                  <w:sz w:val="18"/>
                  <w:szCs w:val="18"/>
                </w:rPr>
                <w:t>List of Execution Venues - Appendix 1</w:t>
              </w:r>
            </w:hyperlink>
            <w:r w:rsidRPr="00625958">
              <w:rPr>
                <w:sz w:val="18"/>
                <w:szCs w:val="18"/>
              </w:rPr>
              <w:t xml:space="preserve">. There has </w:t>
            </w:r>
            <w:r w:rsidR="0099558D" w:rsidRPr="00625958">
              <w:rPr>
                <w:sz w:val="18"/>
                <w:szCs w:val="18"/>
              </w:rPr>
              <w:t xml:space="preserve">been </w:t>
            </w:r>
            <w:r w:rsidRPr="00625958">
              <w:rPr>
                <w:sz w:val="18"/>
                <w:szCs w:val="18"/>
              </w:rPr>
              <w:t xml:space="preserve">one change in the list of execution venues during </w:t>
            </w:r>
            <w:r w:rsidR="0099558D" w:rsidRPr="00625958">
              <w:rPr>
                <w:sz w:val="18"/>
                <w:szCs w:val="18"/>
              </w:rPr>
              <w:t xml:space="preserve">2019. </w:t>
            </w:r>
            <w:r w:rsidRPr="00625958">
              <w:rPr>
                <w:sz w:val="18"/>
                <w:szCs w:val="18"/>
              </w:rPr>
              <w:t xml:space="preserve">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p w14:paraId="11152B1B" w14:textId="77777777" w:rsidR="00C05144" w:rsidRPr="00625958" w:rsidRDefault="00C05144" w:rsidP="007559B0">
            <w:pPr>
              <w:rPr>
                <w:sz w:val="18"/>
                <w:szCs w:val="18"/>
              </w:rPr>
            </w:pPr>
          </w:p>
          <w:p w14:paraId="75E1E937" w14:textId="77777777" w:rsidR="00C05144" w:rsidRPr="00625958" w:rsidRDefault="00C05144" w:rsidP="007559B0">
            <w:pPr>
              <w:rPr>
                <w:color w:val="000000" w:themeColor="text1"/>
                <w:sz w:val="18"/>
                <w:szCs w:val="18"/>
              </w:rPr>
            </w:pPr>
            <w:r w:rsidRPr="00625958">
              <w:rPr>
                <w:b/>
                <w:color w:val="000000" w:themeColor="text1"/>
                <w:sz w:val="18"/>
                <w:szCs w:val="18"/>
                <w:u w:val="single"/>
              </w:rPr>
              <w:t>FORSS &amp; Liquidity Services:</w:t>
            </w:r>
            <w:r w:rsidRPr="00625958">
              <w:rPr>
                <w:color w:val="000000" w:themeColor="text1"/>
                <w:sz w:val="18"/>
                <w:szCs w:val="18"/>
              </w:rPr>
              <w:t xml:space="preserve"> Not Applicable </w:t>
            </w:r>
          </w:p>
          <w:p w14:paraId="27B8C704" w14:textId="6FA3B19E" w:rsidR="00C05144" w:rsidRPr="00625958" w:rsidRDefault="00C05144" w:rsidP="007559B0">
            <w:pPr>
              <w:rPr>
                <w:b/>
                <w:color w:val="000000" w:themeColor="text1"/>
                <w:sz w:val="18"/>
                <w:szCs w:val="18"/>
                <w:u w:val="single"/>
              </w:rPr>
            </w:pPr>
          </w:p>
        </w:tc>
      </w:tr>
      <w:tr w:rsidR="004D72F0" w:rsidRPr="00625958" w14:paraId="78170270" w14:textId="77777777" w:rsidTr="004017AE">
        <w:tc>
          <w:tcPr>
            <w:tcW w:w="4410" w:type="dxa"/>
            <w:tcBorders>
              <w:left w:val="single" w:sz="12" w:space="0" w:color="auto"/>
            </w:tcBorders>
            <w:shd w:val="clear" w:color="auto" w:fill="D9D9D9" w:themeFill="background1" w:themeFillShade="D9"/>
          </w:tcPr>
          <w:p w14:paraId="7EEA18FF" w14:textId="77777777" w:rsidR="004D72F0" w:rsidRPr="00625958" w:rsidRDefault="004D72F0" w:rsidP="004017AE">
            <w:pPr>
              <w:rPr>
                <w:sz w:val="18"/>
                <w:szCs w:val="18"/>
              </w:rPr>
            </w:pPr>
            <w:r w:rsidRPr="00625958">
              <w:rPr>
                <w:sz w:val="18"/>
                <w:szCs w:val="18"/>
              </w:rPr>
              <w:t>Client distinctions</w:t>
            </w:r>
          </w:p>
        </w:tc>
        <w:tc>
          <w:tcPr>
            <w:tcW w:w="9990" w:type="dxa"/>
            <w:tcBorders>
              <w:right w:val="single" w:sz="12" w:space="0" w:color="auto"/>
            </w:tcBorders>
          </w:tcPr>
          <w:p w14:paraId="75CDED56" w14:textId="523AA588" w:rsidR="004D72F0" w:rsidRPr="00625958" w:rsidRDefault="00B511D7" w:rsidP="004017AE">
            <w:pPr>
              <w:spacing w:after="120"/>
              <w:rPr>
                <w:i/>
                <w:sz w:val="18"/>
                <w:szCs w:val="18"/>
              </w:rPr>
            </w:pPr>
            <w:r w:rsidRPr="00625958">
              <w:rPr>
                <w:sz w:val="18"/>
                <w:szCs w:val="18"/>
              </w:rPr>
              <w:t>J.P. Morgan Bank Luxembourg S.A.</w:t>
            </w:r>
            <w:r w:rsidRPr="00625958" w:rsidDel="00816C4A">
              <w:rPr>
                <w:sz w:val="18"/>
                <w:szCs w:val="18"/>
              </w:rPr>
              <w:t xml:space="preserve"> </w:t>
            </w:r>
            <w:r w:rsidRPr="00625958">
              <w:rPr>
                <w:sz w:val="18"/>
                <w:szCs w:val="18"/>
              </w:rPr>
              <w:t xml:space="preserve">only deals with Professional clients for the purposes of Best Execution. </w:t>
            </w:r>
          </w:p>
        </w:tc>
      </w:tr>
      <w:tr w:rsidR="00811842" w:rsidRPr="00625958" w14:paraId="03F193D0" w14:textId="77777777" w:rsidTr="004017AE">
        <w:tc>
          <w:tcPr>
            <w:tcW w:w="4410" w:type="dxa"/>
            <w:tcBorders>
              <w:left w:val="single" w:sz="12" w:space="0" w:color="auto"/>
            </w:tcBorders>
            <w:shd w:val="clear" w:color="auto" w:fill="D9D9D9" w:themeFill="background1" w:themeFillShade="D9"/>
          </w:tcPr>
          <w:p w14:paraId="25C568D1" w14:textId="77777777" w:rsidR="00811842" w:rsidRPr="00625958" w:rsidRDefault="00811842" w:rsidP="00811842">
            <w:pPr>
              <w:rPr>
                <w:sz w:val="18"/>
                <w:szCs w:val="18"/>
              </w:rPr>
            </w:pPr>
            <w:r w:rsidRPr="00625958">
              <w:rPr>
                <w:sz w:val="18"/>
                <w:szCs w:val="18"/>
              </w:rPr>
              <w:lastRenderedPageBreak/>
              <w:t>Use of data/tools relating to the quality of execution</w:t>
            </w:r>
          </w:p>
        </w:tc>
        <w:tc>
          <w:tcPr>
            <w:tcW w:w="9990" w:type="dxa"/>
            <w:tcBorders>
              <w:right w:val="single" w:sz="12" w:space="0" w:color="auto"/>
            </w:tcBorders>
          </w:tcPr>
          <w:p w14:paraId="2152E395" w14:textId="7C08E7ED" w:rsidR="00811842" w:rsidRPr="00625958" w:rsidRDefault="00C05144">
            <w:pPr>
              <w:spacing w:after="120"/>
              <w:rPr>
                <w:i/>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811842" w:rsidRPr="00625958" w14:paraId="57EB7602" w14:textId="77777777" w:rsidTr="004017AE">
        <w:tc>
          <w:tcPr>
            <w:tcW w:w="4410" w:type="dxa"/>
            <w:tcBorders>
              <w:left w:val="single" w:sz="12" w:space="0" w:color="auto"/>
              <w:bottom w:val="single" w:sz="12" w:space="0" w:color="auto"/>
            </w:tcBorders>
            <w:shd w:val="clear" w:color="auto" w:fill="D9D9D9" w:themeFill="background1" w:themeFillShade="D9"/>
          </w:tcPr>
          <w:p w14:paraId="65C04D61" w14:textId="77777777" w:rsidR="00811842" w:rsidRPr="00625958" w:rsidRDefault="00811842" w:rsidP="00811842">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D6572A2" w14:textId="77777777" w:rsidR="00811842" w:rsidRPr="00625958" w:rsidRDefault="00811842" w:rsidP="00811842">
            <w:pPr>
              <w:spacing w:after="120"/>
              <w:rPr>
                <w:i/>
                <w:sz w:val="18"/>
                <w:szCs w:val="18"/>
              </w:rPr>
            </w:pPr>
            <w:r w:rsidRPr="00625958">
              <w:rPr>
                <w:sz w:val="18"/>
                <w:szCs w:val="18"/>
              </w:rPr>
              <w:t xml:space="preserve">Not Applicable </w:t>
            </w:r>
          </w:p>
        </w:tc>
      </w:tr>
    </w:tbl>
    <w:p w14:paraId="24455CCC" w14:textId="2B384E4F" w:rsidR="00ED0764" w:rsidRPr="00625958" w:rsidRDefault="00ED0764" w:rsidP="00811842">
      <w:pPr>
        <w:rPr>
          <w:sz w:val="18"/>
          <w:szCs w:val="18"/>
        </w:rPr>
      </w:pPr>
    </w:p>
    <w:p w14:paraId="5F769ED6" w14:textId="6E19BB1F" w:rsidR="00C05144" w:rsidRPr="00625958" w:rsidRDefault="00C05144">
      <w:pPr>
        <w:rPr>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5F098803"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4B86609"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12F4F7F"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53C4167"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B3C2DE"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78815" w14:textId="77777777" w:rsidR="00C05144" w:rsidRPr="00625958" w:rsidRDefault="00C05144" w:rsidP="00325EB9">
            <w:pPr>
              <w:rPr>
                <w:sz w:val="18"/>
                <w:szCs w:val="18"/>
              </w:rPr>
            </w:pPr>
            <w:r w:rsidRPr="00625958">
              <w:rPr>
                <w:sz w:val="18"/>
                <w:szCs w:val="18"/>
              </w:rPr>
              <w:t>Debt Instruments: Bonds</w:t>
            </w:r>
          </w:p>
        </w:tc>
      </w:tr>
      <w:tr w:rsidR="00C05144" w:rsidRPr="00625958" w14:paraId="317341C9"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3A5F9F7"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6437033C" w14:textId="77777777" w:rsidTr="00325EB9">
        <w:tc>
          <w:tcPr>
            <w:tcW w:w="14400" w:type="dxa"/>
            <w:gridSpan w:val="2"/>
            <w:tcBorders>
              <w:left w:val="single" w:sz="12" w:space="0" w:color="auto"/>
              <w:right w:val="single" w:sz="12" w:space="0" w:color="auto"/>
            </w:tcBorders>
          </w:tcPr>
          <w:p w14:paraId="697FBB08" w14:textId="29DF49CC" w:rsidR="00C05144" w:rsidRPr="00625958" w:rsidRDefault="007C3EC6" w:rsidP="00AA12A4">
            <w:pPr>
              <w:jc w:val="both"/>
              <w:rPr>
                <w:sz w:val="18"/>
                <w:szCs w:val="18"/>
              </w:rPr>
            </w:pPr>
            <w:r w:rsidRPr="00625958">
              <w:rPr>
                <w:sz w:val="18"/>
                <w:szCs w:val="18"/>
              </w:rPr>
              <w:t xml:space="preserve">For the year of 2019 J.P. Morgan Bank Luxembourg S.A. Agency Securities Lending business operated in an agency capacity. Client orders are defined by contractual arrangements (Securities Lending Agreement). A ‘standing order’ </w:t>
            </w:r>
            <w:r w:rsidR="00C05144" w:rsidRPr="00625958">
              <w:rPr>
                <w:sz w:val="18"/>
                <w:szCs w:val="18"/>
              </w:rPr>
              <w:t xml:space="preserve">is received by every in-scope client prior to their entry into the securities lending programme.  For the </w:t>
            </w:r>
            <w:r w:rsidR="0099558D" w:rsidRPr="00625958">
              <w:rPr>
                <w:sz w:val="18"/>
                <w:szCs w:val="18"/>
              </w:rPr>
              <w:t xml:space="preserve"> J.P. Morgan Bank Luxembourg S.A. Agency Securities Lending</w:t>
            </w:r>
            <w:r w:rsidR="00C05144" w:rsidRPr="00625958">
              <w:rPr>
                <w:sz w:val="18"/>
                <w:szCs w:val="18"/>
              </w:rPr>
              <w:t xml:space="preserve"> </w:t>
            </w:r>
            <w:r w:rsidR="00AA12A4" w:rsidRPr="00625958">
              <w:rPr>
                <w:sz w:val="18"/>
                <w:szCs w:val="18"/>
              </w:rPr>
              <w:t>business</w:t>
            </w:r>
            <w:r w:rsidR="00C05144" w:rsidRPr="00625958">
              <w:rPr>
                <w:sz w:val="18"/>
                <w:szCs w:val="18"/>
              </w:rPr>
              <w:t>, Best Execution w</w:t>
            </w:r>
            <w:r w:rsidR="00ED0764" w:rsidRPr="00625958">
              <w:rPr>
                <w:sz w:val="18"/>
                <w:szCs w:val="18"/>
              </w:rPr>
              <w:t>as monitored by performing post-</w:t>
            </w:r>
            <w:r w:rsidR="00C05144" w:rsidRPr="00625958">
              <w:rPr>
                <w:sz w:val="18"/>
                <w:szCs w:val="18"/>
              </w:rPr>
              <w:t xml:space="preserve">trade checks using </w:t>
            </w:r>
            <w:r w:rsidR="00C05144" w:rsidRPr="00625958">
              <w:rPr>
                <w:color w:val="000000" w:themeColor="text1"/>
                <w:sz w:val="18"/>
                <w:szCs w:val="18"/>
              </w:rPr>
              <w:t xml:space="preserve">exception reporting whereby current fees/rebates of open loans are compared to rates supplied by a third party vendor transactions to identify outliers. </w:t>
            </w:r>
            <w:r w:rsidR="00C05144" w:rsidRPr="00625958">
              <w:rPr>
                <w:sz w:val="18"/>
                <w:szCs w:val="18"/>
              </w:rPr>
              <w:t>For all in scope transactions, the review found that</w:t>
            </w:r>
            <w:r w:rsidR="00C05144" w:rsidRPr="00625958">
              <w:rPr>
                <w:color w:val="FF0000"/>
                <w:sz w:val="18"/>
                <w:szCs w:val="18"/>
              </w:rPr>
              <w:t xml:space="preserve"> </w:t>
            </w:r>
            <w:r w:rsidR="00C05144" w:rsidRPr="00625958">
              <w:rPr>
                <w:sz w:val="18"/>
                <w:szCs w:val="18"/>
              </w:rPr>
              <w:t xml:space="preserve">the obligation of Best Execution was met and that the correct decision making process was followed. </w:t>
            </w:r>
            <w:r w:rsidR="00C05144" w:rsidRPr="00625958">
              <w:rPr>
                <w:color w:val="000000" w:themeColor="text1"/>
                <w:sz w:val="18"/>
                <w:szCs w:val="18"/>
              </w:rPr>
              <w:t> </w:t>
            </w:r>
          </w:p>
        </w:tc>
      </w:tr>
      <w:tr w:rsidR="00C05144" w:rsidRPr="00625958" w14:paraId="7C29B29B" w14:textId="77777777" w:rsidTr="00325EB9">
        <w:tc>
          <w:tcPr>
            <w:tcW w:w="4410" w:type="dxa"/>
            <w:tcBorders>
              <w:left w:val="single" w:sz="12" w:space="0" w:color="auto"/>
            </w:tcBorders>
            <w:shd w:val="clear" w:color="auto" w:fill="D9D9D9" w:themeFill="background1" w:themeFillShade="D9"/>
          </w:tcPr>
          <w:p w14:paraId="2D841321" w14:textId="77777777" w:rsidR="00C05144" w:rsidRPr="00625958" w:rsidRDefault="00C05144" w:rsidP="00325EB9">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3EDE95E8" w14:textId="50170D98" w:rsidR="00C05144" w:rsidRPr="00625958" w:rsidRDefault="00C05144" w:rsidP="0051309F">
            <w:pPr>
              <w:spacing w:after="120"/>
              <w:jc w:val="both"/>
              <w:rPr>
                <w:sz w:val="18"/>
                <w:szCs w:val="18"/>
              </w:rPr>
            </w:pPr>
            <w:r w:rsidRPr="00625958">
              <w:rPr>
                <w:sz w:val="18"/>
                <w:szCs w:val="18"/>
              </w:rPr>
              <w:t xml:space="preserve">Please refer to Execution Policy </w:t>
            </w:r>
            <w:r w:rsidRPr="00625958">
              <w:rPr>
                <w:rStyle w:val="Hyperlink"/>
                <w:sz w:val="18"/>
                <w:szCs w:val="18"/>
              </w:rPr>
              <w:t>J.P. Morgan EMEA Securi</w:t>
            </w:r>
            <w:r w:rsidR="0051309F" w:rsidRPr="00625958">
              <w:rPr>
                <w:rStyle w:val="Hyperlink"/>
                <w:sz w:val="18"/>
                <w:szCs w:val="18"/>
              </w:rPr>
              <w:t>ties Services: Execution Policy</w:t>
            </w:r>
            <w:r w:rsidRPr="00625958">
              <w:rPr>
                <w:rStyle w:val="Hyperlink"/>
                <w:sz w:val="18"/>
                <w:szCs w:val="18"/>
              </w:rPr>
              <w:t>.</w:t>
            </w:r>
            <w:r w:rsidRPr="00625958">
              <w:rPr>
                <w:sz w:val="18"/>
                <w:szCs w:val="18"/>
              </w:rPr>
              <w:t xml:space="preserve"> In this policy, page 7 details the considerations for the key execution factors and page 11 details the factors affecting Agency</w:t>
            </w:r>
            <w:r w:rsidR="00084D21">
              <w:rPr>
                <w:sz w:val="18"/>
                <w:szCs w:val="18"/>
              </w:rPr>
              <w:t xml:space="preserve"> Securities</w:t>
            </w:r>
            <w:r w:rsidRPr="00625958">
              <w:rPr>
                <w:sz w:val="18"/>
                <w:szCs w:val="18"/>
              </w:rPr>
              <w:t xml:space="preserve"> Lending choice of execution venues.</w:t>
            </w:r>
          </w:p>
        </w:tc>
      </w:tr>
      <w:tr w:rsidR="00C05144" w:rsidRPr="00625958" w14:paraId="4108BB46" w14:textId="77777777" w:rsidTr="00325EB9">
        <w:trPr>
          <w:trHeight w:val="485"/>
        </w:trPr>
        <w:tc>
          <w:tcPr>
            <w:tcW w:w="4410" w:type="dxa"/>
            <w:tcBorders>
              <w:left w:val="single" w:sz="12" w:space="0" w:color="auto"/>
            </w:tcBorders>
            <w:shd w:val="clear" w:color="auto" w:fill="D9D9D9" w:themeFill="background1" w:themeFillShade="D9"/>
          </w:tcPr>
          <w:p w14:paraId="66B5CF87"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67E76B8C" w14:textId="77777777" w:rsidR="00C05144" w:rsidRPr="00625958" w:rsidRDefault="00C05144" w:rsidP="00325EB9">
            <w:pPr>
              <w:rPr>
                <w:sz w:val="18"/>
                <w:szCs w:val="18"/>
              </w:rPr>
            </w:pPr>
            <w:r w:rsidRPr="00625958">
              <w:rPr>
                <w:sz w:val="18"/>
                <w:szCs w:val="18"/>
              </w:rPr>
              <w:t>Not Applicable</w:t>
            </w:r>
          </w:p>
          <w:p w14:paraId="3415BD37" w14:textId="77777777" w:rsidR="00C05144" w:rsidRPr="00625958" w:rsidRDefault="00C05144" w:rsidP="00325EB9">
            <w:pPr>
              <w:rPr>
                <w:sz w:val="18"/>
                <w:szCs w:val="18"/>
              </w:rPr>
            </w:pPr>
          </w:p>
        </w:tc>
      </w:tr>
      <w:tr w:rsidR="00C05144" w:rsidRPr="00625958" w14:paraId="06CFF6FE" w14:textId="77777777" w:rsidTr="00325EB9">
        <w:tc>
          <w:tcPr>
            <w:tcW w:w="4410" w:type="dxa"/>
            <w:tcBorders>
              <w:left w:val="single" w:sz="12" w:space="0" w:color="auto"/>
            </w:tcBorders>
            <w:shd w:val="clear" w:color="auto" w:fill="D9D9D9" w:themeFill="background1" w:themeFillShade="D9"/>
          </w:tcPr>
          <w:p w14:paraId="07055389"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72625FD8" w14:textId="77777777" w:rsidR="00C05144" w:rsidRPr="00625958" w:rsidRDefault="00C05144" w:rsidP="00325EB9">
            <w:pPr>
              <w:rPr>
                <w:sz w:val="18"/>
                <w:szCs w:val="18"/>
              </w:rPr>
            </w:pPr>
            <w:r w:rsidRPr="00625958">
              <w:rPr>
                <w:sz w:val="18"/>
                <w:szCs w:val="18"/>
              </w:rPr>
              <w:t>Not Applicable</w:t>
            </w:r>
          </w:p>
          <w:p w14:paraId="4303E0B2" w14:textId="77777777" w:rsidR="00C05144" w:rsidRPr="00625958" w:rsidRDefault="00C05144" w:rsidP="00325EB9">
            <w:pPr>
              <w:rPr>
                <w:sz w:val="18"/>
                <w:szCs w:val="18"/>
              </w:rPr>
            </w:pPr>
          </w:p>
        </w:tc>
      </w:tr>
      <w:tr w:rsidR="00C05144" w:rsidRPr="00625958" w14:paraId="423970CE" w14:textId="77777777" w:rsidTr="00325EB9">
        <w:trPr>
          <w:trHeight w:val="368"/>
        </w:trPr>
        <w:tc>
          <w:tcPr>
            <w:tcW w:w="4410" w:type="dxa"/>
            <w:tcBorders>
              <w:left w:val="single" w:sz="12" w:space="0" w:color="auto"/>
            </w:tcBorders>
            <w:shd w:val="clear" w:color="auto" w:fill="D9D9D9" w:themeFill="background1" w:themeFillShade="D9"/>
          </w:tcPr>
          <w:p w14:paraId="73431815"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6FFFC51A" w14:textId="0D7CCB9D" w:rsidR="00C05144" w:rsidRPr="00625958" w:rsidRDefault="00C05144" w:rsidP="00325EB9">
            <w:pPr>
              <w:spacing w:after="120"/>
              <w:rPr>
                <w:sz w:val="18"/>
                <w:szCs w:val="18"/>
              </w:rPr>
            </w:pPr>
            <w:r w:rsidRPr="00625958">
              <w:rPr>
                <w:sz w:val="18"/>
                <w:szCs w:val="18"/>
              </w:rPr>
              <w:t xml:space="preserve">The list of execution venues can be found at </w:t>
            </w:r>
            <w:hyperlink r:id="rId11" w:history="1">
              <w:r w:rsidRPr="00625958">
                <w:rPr>
                  <w:rStyle w:val="Hyperlink"/>
                  <w:sz w:val="18"/>
                  <w:szCs w:val="18"/>
                </w:rPr>
                <w:t xml:space="preserve">List of Execution Venues - Appendix 1. </w:t>
              </w:r>
            </w:hyperlink>
            <w:r w:rsidRPr="00625958">
              <w:rPr>
                <w:sz w:val="18"/>
                <w:szCs w:val="18"/>
              </w:rPr>
              <w:t xml:space="preserve"> There has</w:t>
            </w:r>
            <w:r w:rsidR="0099558D" w:rsidRPr="00625958">
              <w:rPr>
                <w:sz w:val="18"/>
                <w:szCs w:val="18"/>
              </w:rPr>
              <w:t xml:space="preserve"> been</w:t>
            </w:r>
            <w:r w:rsidR="0002498C" w:rsidRPr="00625958">
              <w:rPr>
                <w:sz w:val="18"/>
                <w:szCs w:val="18"/>
              </w:rPr>
              <w:t xml:space="preserve"> </w:t>
            </w:r>
            <w:r w:rsidRPr="00625958">
              <w:rPr>
                <w:sz w:val="18"/>
                <w:szCs w:val="18"/>
              </w:rPr>
              <w:t>one change in the list of</w:t>
            </w:r>
            <w:r w:rsidR="0072314F" w:rsidRPr="00625958">
              <w:rPr>
                <w:sz w:val="18"/>
                <w:szCs w:val="18"/>
              </w:rPr>
              <w:t xml:space="preserve"> execution venues during 2019. </w:t>
            </w:r>
            <w:r w:rsidRPr="00625958">
              <w:rPr>
                <w:sz w:val="18"/>
                <w:szCs w:val="18"/>
              </w:rPr>
              <w:t xml:space="preserve"> 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tc>
      </w:tr>
      <w:tr w:rsidR="00C05144" w:rsidRPr="00625958" w14:paraId="05D636EC" w14:textId="77777777" w:rsidTr="00325EB9">
        <w:tc>
          <w:tcPr>
            <w:tcW w:w="4410" w:type="dxa"/>
            <w:tcBorders>
              <w:left w:val="single" w:sz="12" w:space="0" w:color="auto"/>
            </w:tcBorders>
            <w:shd w:val="clear" w:color="auto" w:fill="D9D9D9" w:themeFill="background1" w:themeFillShade="D9"/>
          </w:tcPr>
          <w:p w14:paraId="30A95A24"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6BF3DF9B"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C05144" w:rsidRPr="00625958" w14:paraId="766E9F34" w14:textId="77777777" w:rsidTr="00325EB9">
        <w:tc>
          <w:tcPr>
            <w:tcW w:w="4410" w:type="dxa"/>
            <w:tcBorders>
              <w:left w:val="single" w:sz="12" w:space="0" w:color="auto"/>
            </w:tcBorders>
            <w:shd w:val="clear" w:color="auto" w:fill="D9D9D9" w:themeFill="background1" w:themeFillShade="D9"/>
          </w:tcPr>
          <w:p w14:paraId="0605A7B9" w14:textId="77777777" w:rsidR="00C05144" w:rsidRPr="00625958" w:rsidRDefault="00C05144" w:rsidP="00325EB9">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22000939" w14:textId="77777777" w:rsidR="00C05144" w:rsidRPr="00625958" w:rsidRDefault="00C05144" w:rsidP="00325EB9">
            <w:pPr>
              <w:spacing w:after="120"/>
              <w:rPr>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C05144" w:rsidRPr="00625958" w14:paraId="220CAF5B" w14:textId="77777777" w:rsidTr="00325EB9">
        <w:tc>
          <w:tcPr>
            <w:tcW w:w="4410" w:type="dxa"/>
            <w:tcBorders>
              <w:left w:val="single" w:sz="12" w:space="0" w:color="auto"/>
              <w:bottom w:val="single" w:sz="12" w:space="0" w:color="auto"/>
            </w:tcBorders>
            <w:shd w:val="clear" w:color="auto" w:fill="D9D9D9" w:themeFill="background1" w:themeFillShade="D9"/>
          </w:tcPr>
          <w:p w14:paraId="0CDE8362"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F62F2E2" w14:textId="77777777" w:rsidR="00C05144" w:rsidRPr="00625958" w:rsidRDefault="00C05144" w:rsidP="00325EB9">
            <w:pPr>
              <w:spacing w:after="120"/>
              <w:rPr>
                <w:sz w:val="18"/>
                <w:szCs w:val="18"/>
              </w:rPr>
            </w:pPr>
            <w:r w:rsidRPr="00625958">
              <w:rPr>
                <w:sz w:val="18"/>
                <w:szCs w:val="18"/>
              </w:rPr>
              <w:t xml:space="preserve">Not Applicable. </w:t>
            </w:r>
          </w:p>
        </w:tc>
      </w:tr>
    </w:tbl>
    <w:p w14:paraId="5BAFF512" w14:textId="77777777" w:rsidR="00C05144" w:rsidRPr="00625958" w:rsidRDefault="00C05144" w:rsidP="00C05144">
      <w:pPr>
        <w:ind w:firstLine="720"/>
        <w:rPr>
          <w:color w:val="FF0000"/>
          <w:sz w:val="18"/>
          <w:szCs w:val="18"/>
        </w:rPr>
      </w:pPr>
    </w:p>
    <w:p w14:paraId="0859AA87"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C49A586"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EFC199"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2E31280"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A3CAD19"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05FC440"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4F8720F" w14:textId="6B2CDCE3"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es &amp; Depositary Receipts: Tick size liquidity band 1 And 2 (from 0 To 79 trades per d</w:t>
            </w:r>
            <w:r w:rsidRPr="00625958">
              <w:rPr>
                <w:color w:val="000000"/>
                <w:sz w:val="18"/>
                <w:szCs w:val="18"/>
              </w:rPr>
              <w:t>ay)</w:t>
            </w:r>
          </w:p>
        </w:tc>
      </w:tr>
      <w:tr w:rsidR="00C05144" w:rsidRPr="00625958" w14:paraId="4220DA15"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4C985DB"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56CE2479" w14:textId="77777777" w:rsidTr="00325EB9">
        <w:tc>
          <w:tcPr>
            <w:tcW w:w="14400" w:type="dxa"/>
            <w:gridSpan w:val="2"/>
            <w:tcBorders>
              <w:left w:val="single" w:sz="12" w:space="0" w:color="auto"/>
              <w:right w:val="single" w:sz="12" w:space="0" w:color="auto"/>
            </w:tcBorders>
          </w:tcPr>
          <w:p w14:paraId="4F8C5CBA" w14:textId="59D117D4" w:rsidR="00C05144" w:rsidRPr="00625958" w:rsidRDefault="00AF31BA" w:rsidP="00325EB9">
            <w:pPr>
              <w:jc w:val="both"/>
              <w:rPr>
                <w:sz w:val="18"/>
                <w:szCs w:val="18"/>
              </w:rPr>
            </w:pPr>
            <w:r w:rsidRPr="00625958">
              <w:rPr>
                <w:sz w:val="18"/>
                <w:szCs w:val="18"/>
              </w:rPr>
              <w:t xml:space="preserve">For the year of 2019 J.P. Morgan Bank Luxembourg S.A. Agency Securities Lending business operated in an agency capacity. Client orders are defined by contractual arrangements (Securities Lending Agreement). A ‘standing order’ </w:t>
            </w:r>
            <w:r w:rsidR="00C05144" w:rsidRPr="00625958">
              <w:rPr>
                <w:sz w:val="18"/>
                <w:szCs w:val="18"/>
              </w:rPr>
              <w:t>is received by every in-scope client prior to their entry into the securit</w:t>
            </w:r>
            <w:r w:rsidR="00AA12A4" w:rsidRPr="00625958">
              <w:rPr>
                <w:sz w:val="18"/>
                <w:szCs w:val="18"/>
              </w:rPr>
              <w:t xml:space="preserve">ies lending programme.  For the J.P. Morgan Bank Luxembourg S.A. Agency Securities Lending business </w:t>
            </w:r>
            <w:r w:rsidR="00C05144" w:rsidRPr="00625958">
              <w:rPr>
                <w:sz w:val="18"/>
                <w:szCs w:val="18"/>
              </w:rPr>
              <w:t>, Best Execution w</w:t>
            </w:r>
            <w:r w:rsidR="0099558D" w:rsidRPr="00625958">
              <w:rPr>
                <w:sz w:val="18"/>
                <w:szCs w:val="18"/>
              </w:rPr>
              <w:t>as monitored by performing post-</w:t>
            </w:r>
            <w:r w:rsidR="00C05144" w:rsidRPr="00625958">
              <w:rPr>
                <w:sz w:val="18"/>
                <w:szCs w:val="18"/>
              </w:rPr>
              <w:t xml:space="preserve">trade checks using </w:t>
            </w:r>
            <w:r w:rsidR="00C05144" w:rsidRPr="00625958">
              <w:rPr>
                <w:color w:val="000000" w:themeColor="text1"/>
                <w:sz w:val="18"/>
                <w:szCs w:val="18"/>
              </w:rPr>
              <w:t xml:space="preserve">exception reporting whereby current fees/rebates of open loans are compared to rates supplied by a third party vendor transactions to identify outliers. </w:t>
            </w:r>
            <w:r w:rsidR="00C05144" w:rsidRPr="00625958">
              <w:rPr>
                <w:sz w:val="18"/>
                <w:szCs w:val="18"/>
              </w:rPr>
              <w:t>For all in scope transactions, the review found that</w:t>
            </w:r>
            <w:r w:rsidR="00C05144" w:rsidRPr="00625958">
              <w:rPr>
                <w:color w:val="FF0000"/>
                <w:sz w:val="18"/>
                <w:szCs w:val="18"/>
              </w:rPr>
              <w:t xml:space="preserve"> </w:t>
            </w:r>
            <w:r w:rsidR="00C05144" w:rsidRPr="00625958">
              <w:rPr>
                <w:sz w:val="18"/>
                <w:szCs w:val="18"/>
              </w:rPr>
              <w:t xml:space="preserve">the obligation of Best Execution was met and that the correct decision making process was followed. </w:t>
            </w:r>
            <w:r w:rsidR="00C05144" w:rsidRPr="00625958">
              <w:rPr>
                <w:color w:val="000000" w:themeColor="text1"/>
                <w:sz w:val="18"/>
                <w:szCs w:val="18"/>
              </w:rPr>
              <w:t> </w:t>
            </w:r>
          </w:p>
        </w:tc>
      </w:tr>
      <w:tr w:rsidR="00C05144" w:rsidRPr="00625958" w14:paraId="24E24910" w14:textId="77777777" w:rsidTr="00325EB9">
        <w:tc>
          <w:tcPr>
            <w:tcW w:w="4410" w:type="dxa"/>
            <w:tcBorders>
              <w:left w:val="single" w:sz="12" w:space="0" w:color="auto"/>
            </w:tcBorders>
            <w:shd w:val="clear" w:color="auto" w:fill="D9D9D9" w:themeFill="background1" w:themeFillShade="D9"/>
          </w:tcPr>
          <w:p w14:paraId="3D5A1079" w14:textId="77777777" w:rsidR="00C05144" w:rsidRPr="00625958" w:rsidRDefault="00C05144" w:rsidP="00325EB9">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4336B59E" w14:textId="1F71587D" w:rsidR="00C05144" w:rsidRPr="00625958" w:rsidRDefault="00C05144" w:rsidP="0051309F">
            <w:pPr>
              <w:spacing w:after="120"/>
              <w:jc w:val="both"/>
              <w:rPr>
                <w:sz w:val="18"/>
                <w:szCs w:val="18"/>
              </w:rPr>
            </w:pPr>
            <w:r w:rsidRPr="00625958">
              <w:rPr>
                <w:sz w:val="18"/>
                <w:szCs w:val="18"/>
              </w:rPr>
              <w:t xml:space="preserve">Please refer to Execution Policy </w:t>
            </w:r>
            <w:r w:rsidRPr="00625958">
              <w:rPr>
                <w:rStyle w:val="Hyperlink"/>
                <w:sz w:val="18"/>
                <w:szCs w:val="18"/>
              </w:rPr>
              <w:t>J.P. Morgan EMEA Securi</w:t>
            </w:r>
            <w:r w:rsidR="0051309F" w:rsidRPr="00625958">
              <w:rPr>
                <w:rStyle w:val="Hyperlink"/>
                <w:sz w:val="18"/>
                <w:szCs w:val="18"/>
              </w:rPr>
              <w:t>ties Services: Execution Policy</w:t>
            </w:r>
            <w:r w:rsidRPr="00625958">
              <w:rPr>
                <w:rStyle w:val="Hyperlink"/>
                <w:sz w:val="18"/>
                <w:szCs w:val="18"/>
              </w:rPr>
              <w:t>.</w:t>
            </w:r>
            <w:r w:rsidRPr="00625958">
              <w:rPr>
                <w:sz w:val="18"/>
                <w:szCs w:val="18"/>
              </w:rPr>
              <w:t xml:space="preserve"> In this policy, page 7 details the considerations for the key execution factors and page 11 details the factors affecting Agency </w:t>
            </w:r>
            <w:r w:rsidR="00084D21">
              <w:rPr>
                <w:sz w:val="18"/>
                <w:szCs w:val="18"/>
              </w:rPr>
              <w:t xml:space="preserve">Securities </w:t>
            </w:r>
            <w:r w:rsidRPr="00625958">
              <w:rPr>
                <w:sz w:val="18"/>
                <w:szCs w:val="18"/>
              </w:rPr>
              <w:t>Lending choice of execution venues.</w:t>
            </w:r>
          </w:p>
        </w:tc>
      </w:tr>
      <w:tr w:rsidR="00C05144" w:rsidRPr="00625958" w14:paraId="6F2B148E" w14:textId="77777777" w:rsidTr="00325EB9">
        <w:trPr>
          <w:trHeight w:val="485"/>
        </w:trPr>
        <w:tc>
          <w:tcPr>
            <w:tcW w:w="4410" w:type="dxa"/>
            <w:tcBorders>
              <w:left w:val="single" w:sz="12" w:space="0" w:color="auto"/>
            </w:tcBorders>
            <w:shd w:val="clear" w:color="auto" w:fill="D9D9D9" w:themeFill="background1" w:themeFillShade="D9"/>
          </w:tcPr>
          <w:p w14:paraId="1819BC6A"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2E5DDA91" w14:textId="77777777" w:rsidR="00C05144" w:rsidRPr="00625958" w:rsidRDefault="00C05144" w:rsidP="00325EB9">
            <w:pPr>
              <w:rPr>
                <w:sz w:val="18"/>
                <w:szCs w:val="18"/>
              </w:rPr>
            </w:pPr>
            <w:r w:rsidRPr="00625958">
              <w:rPr>
                <w:sz w:val="18"/>
                <w:szCs w:val="18"/>
              </w:rPr>
              <w:t>Not Applicable</w:t>
            </w:r>
          </w:p>
          <w:p w14:paraId="6196BF05" w14:textId="77777777" w:rsidR="00C05144" w:rsidRPr="00625958" w:rsidRDefault="00C05144" w:rsidP="00325EB9">
            <w:pPr>
              <w:rPr>
                <w:sz w:val="18"/>
                <w:szCs w:val="18"/>
              </w:rPr>
            </w:pPr>
          </w:p>
        </w:tc>
      </w:tr>
      <w:tr w:rsidR="00C05144" w:rsidRPr="00625958" w14:paraId="07C6F475" w14:textId="77777777" w:rsidTr="00325EB9">
        <w:tc>
          <w:tcPr>
            <w:tcW w:w="4410" w:type="dxa"/>
            <w:tcBorders>
              <w:left w:val="single" w:sz="12" w:space="0" w:color="auto"/>
            </w:tcBorders>
            <w:shd w:val="clear" w:color="auto" w:fill="D9D9D9" w:themeFill="background1" w:themeFillShade="D9"/>
          </w:tcPr>
          <w:p w14:paraId="62C08172"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0E32E7FB" w14:textId="77777777" w:rsidR="00C05144" w:rsidRPr="00625958" w:rsidRDefault="00C05144" w:rsidP="00325EB9">
            <w:pPr>
              <w:rPr>
                <w:sz w:val="18"/>
                <w:szCs w:val="18"/>
              </w:rPr>
            </w:pPr>
            <w:r w:rsidRPr="00625958">
              <w:rPr>
                <w:sz w:val="18"/>
                <w:szCs w:val="18"/>
              </w:rPr>
              <w:t>Not Applicable</w:t>
            </w:r>
          </w:p>
          <w:p w14:paraId="51FA3B6F" w14:textId="77777777" w:rsidR="00C05144" w:rsidRPr="00625958" w:rsidRDefault="00C05144" w:rsidP="00325EB9">
            <w:pPr>
              <w:rPr>
                <w:sz w:val="18"/>
                <w:szCs w:val="18"/>
              </w:rPr>
            </w:pPr>
          </w:p>
        </w:tc>
      </w:tr>
      <w:tr w:rsidR="00C05144" w:rsidRPr="00625958" w14:paraId="495D7CA3" w14:textId="77777777" w:rsidTr="00325EB9">
        <w:trPr>
          <w:trHeight w:val="368"/>
        </w:trPr>
        <w:tc>
          <w:tcPr>
            <w:tcW w:w="4410" w:type="dxa"/>
            <w:tcBorders>
              <w:left w:val="single" w:sz="12" w:space="0" w:color="auto"/>
            </w:tcBorders>
            <w:shd w:val="clear" w:color="auto" w:fill="D9D9D9" w:themeFill="background1" w:themeFillShade="D9"/>
          </w:tcPr>
          <w:p w14:paraId="769CEBE4"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7D127D4A" w14:textId="079C049B" w:rsidR="00C05144" w:rsidRPr="00625958" w:rsidRDefault="00C05144" w:rsidP="0072314F">
            <w:pPr>
              <w:spacing w:after="120"/>
              <w:rPr>
                <w:sz w:val="18"/>
                <w:szCs w:val="18"/>
              </w:rPr>
            </w:pPr>
            <w:r w:rsidRPr="00625958">
              <w:rPr>
                <w:sz w:val="18"/>
                <w:szCs w:val="18"/>
              </w:rPr>
              <w:t xml:space="preserve">The list of execution venues can be found at </w:t>
            </w:r>
            <w:hyperlink r:id="rId12" w:history="1">
              <w:r w:rsidRPr="00625958">
                <w:rPr>
                  <w:rStyle w:val="Hyperlink"/>
                  <w:sz w:val="18"/>
                  <w:szCs w:val="18"/>
                </w:rPr>
                <w:t xml:space="preserve">List of Execution Venues - Appendix 1. </w:t>
              </w:r>
            </w:hyperlink>
            <w:r w:rsidR="0099558D" w:rsidRPr="00625958">
              <w:rPr>
                <w:sz w:val="18"/>
                <w:szCs w:val="18"/>
              </w:rPr>
              <w:t xml:space="preserve"> There has been </w:t>
            </w:r>
            <w:r w:rsidRPr="00625958">
              <w:rPr>
                <w:sz w:val="18"/>
                <w:szCs w:val="18"/>
              </w:rPr>
              <w:t xml:space="preserve">one change in the list of execution venues during 2019. 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tc>
      </w:tr>
      <w:tr w:rsidR="00C05144" w:rsidRPr="00625958" w14:paraId="41C3EC98" w14:textId="77777777" w:rsidTr="00325EB9">
        <w:tc>
          <w:tcPr>
            <w:tcW w:w="4410" w:type="dxa"/>
            <w:tcBorders>
              <w:left w:val="single" w:sz="12" w:space="0" w:color="auto"/>
            </w:tcBorders>
            <w:shd w:val="clear" w:color="auto" w:fill="D9D9D9" w:themeFill="background1" w:themeFillShade="D9"/>
          </w:tcPr>
          <w:p w14:paraId="228363B1"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2594350D"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C05144" w:rsidRPr="00625958" w14:paraId="0C202633" w14:textId="77777777" w:rsidTr="00325EB9">
        <w:tc>
          <w:tcPr>
            <w:tcW w:w="4410" w:type="dxa"/>
            <w:tcBorders>
              <w:left w:val="single" w:sz="12" w:space="0" w:color="auto"/>
            </w:tcBorders>
            <w:shd w:val="clear" w:color="auto" w:fill="D9D9D9" w:themeFill="background1" w:themeFillShade="D9"/>
          </w:tcPr>
          <w:p w14:paraId="145857E4" w14:textId="77777777" w:rsidR="00C05144" w:rsidRPr="00625958" w:rsidRDefault="00C05144" w:rsidP="00325EB9">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C30830C" w14:textId="77777777" w:rsidR="00C05144" w:rsidRPr="00625958" w:rsidRDefault="00C05144" w:rsidP="00325EB9">
            <w:pPr>
              <w:spacing w:after="120"/>
              <w:rPr>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C05144" w:rsidRPr="00625958" w14:paraId="23231759" w14:textId="77777777" w:rsidTr="00325EB9">
        <w:tc>
          <w:tcPr>
            <w:tcW w:w="4410" w:type="dxa"/>
            <w:tcBorders>
              <w:left w:val="single" w:sz="12" w:space="0" w:color="auto"/>
              <w:bottom w:val="single" w:sz="12" w:space="0" w:color="auto"/>
            </w:tcBorders>
            <w:shd w:val="clear" w:color="auto" w:fill="D9D9D9" w:themeFill="background1" w:themeFillShade="D9"/>
          </w:tcPr>
          <w:p w14:paraId="486626E7"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1EF447D" w14:textId="77777777" w:rsidR="00C05144" w:rsidRPr="00625958" w:rsidRDefault="00C05144" w:rsidP="00325EB9">
            <w:pPr>
              <w:spacing w:after="120"/>
              <w:rPr>
                <w:sz w:val="18"/>
                <w:szCs w:val="18"/>
              </w:rPr>
            </w:pPr>
            <w:r w:rsidRPr="00625958">
              <w:rPr>
                <w:sz w:val="18"/>
                <w:szCs w:val="18"/>
              </w:rPr>
              <w:t xml:space="preserve">Not Applicable. </w:t>
            </w:r>
          </w:p>
        </w:tc>
      </w:tr>
    </w:tbl>
    <w:p w14:paraId="1443840E" w14:textId="77777777" w:rsidR="00C05144" w:rsidRPr="00625958" w:rsidRDefault="00C05144" w:rsidP="00C05144">
      <w:pPr>
        <w:rPr>
          <w:color w:val="FF0000"/>
          <w:sz w:val="18"/>
          <w:szCs w:val="18"/>
        </w:rPr>
      </w:pPr>
    </w:p>
    <w:p w14:paraId="7D2DD4F0" w14:textId="77777777" w:rsidR="00C05144" w:rsidRPr="00625958" w:rsidRDefault="00C05144" w:rsidP="00C05144">
      <w:pPr>
        <w:rPr>
          <w:color w:val="FF0000"/>
          <w:sz w:val="18"/>
          <w:szCs w:val="18"/>
        </w:rPr>
      </w:pPr>
    </w:p>
    <w:p w14:paraId="624F02CE" w14:textId="77777777" w:rsidR="00C05144" w:rsidRPr="00625958" w:rsidRDefault="00C05144" w:rsidP="00C05144">
      <w:pPr>
        <w:rPr>
          <w:color w:val="FF0000"/>
          <w:sz w:val="18"/>
          <w:szCs w:val="18"/>
        </w:rPr>
      </w:pPr>
    </w:p>
    <w:p w14:paraId="0C2B905A" w14:textId="77777777" w:rsidR="00C05144" w:rsidRPr="00625958" w:rsidRDefault="00C05144" w:rsidP="00C05144">
      <w:pPr>
        <w:rPr>
          <w:color w:val="FF0000"/>
          <w:sz w:val="18"/>
          <w:szCs w:val="18"/>
        </w:rPr>
      </w:pPr>
    </w:p>
    <w:p w14:paraId="7E4D754E" w14:textId="77777777" w:rsidR="00C05144" w:rsidRPr="00625958" w:rsidRDefault="00C05144" w:rsidP="00C05144">
      <w:pPr>
        <w:rPr>
          <w:color w:val="FF0000"/>
          <w:sz w:val="18"/>
          <w:szCs w:val="18"/>
        </w:rPr>
      </w:pPr>
    </w:p>
    <w:p w14:paraId="7C9A1C68" w14:textId="77777777" w:rsidR="00C05144" w:rsidRPr="00625958" w:rsidRDefault="00C05144" w:rsidP="00C05144">
      <w:pPr>
        <w:rPr>
          <w:color w:val="FF0000"/>
          <w:sz w:val="18"/>
          <w:szCs w:val="18"/>
        </w:rPr>
      </w:pPr>
    </w:p>
    <w:p w14:paraId="3F40B15A" w14:textId="77777777" w:rsidR="00C05144" w:rsidRPr="00625958" w:rsidRDefault="00C05144" w:rsidP="00C05144">
      <w:pPr>
        <w:rPr>
          <w:color w:val="FF0000"/>
          <w:sz w:val="18"/>
          <w:szCs w:val="18"/>
        </w:rPr>
      </w:pPr>
    </w:p>
    <w:p w14:paraId="2FE08F01" w14:textId="77777777" w:rsidR="00C05144" w:rsidRPr="00625958" w:rsidRDefault="00C05144" w:rsidP="00C05144">
      <w:pPr>
        <w:rPr>
          <w:color w:val="FF0000"/>
          <w:sz w:val="18"/>
          <w:szCs w:val="18"/>
        </w:rPr>
      </w:pPr>
    </w:p>
    <w:p w14:paraId="54DAF3E0" w14:textId="77777777" w:rsidR="00C05144" w:rsidRPr="00625958" w:rsidRDefault="00C05144" w:rsidP="00C05144">
      <w:pPr>
        <w:rPr>
          <w:color w:val="FF0000"/>
          <w:sz w:val="18"/>
          <w:szCs w:val="18"/>
        </w:rPr>
      </w:pPr>
    </w:p>
    <w:p w14:paraId="6ECAC265"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1B1C1A4A"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3909DB7"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0DFF6D98"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030E3FED"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02959F5"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D6CD402" w14:textId="48A8BE36"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es &amp; Depositary Receipts: Tick size liquidity b</w:t>
            </w:r>
            <w:r w:rsidRPr="00625958">
              <w:rPr>
                <w:color w:val="000000"/>
                <w:sz w:val="18"/>
                <w:szCs w:val="18"/>
              </w:rPr>
              <w:t xml:space="preserve">ands 3 And 4 </w:t>
            </w:r>
            <w:r w:rsidR="00ED0764" w:rsidRPr="00625958">
              <w:rPr>
                <w:color w:val="000000"/>
                <w:sz w:val="18"/>
                <w:szCs w:val="18"/>
              </w:rPr>
              <w:t>(from 80 to 1999 trades per d</w:t>
            </w:r>
            <w:r w:rsidRPr="00625958">
              <w:rPr>
                <w:color w:val="000000"/>
                <w:sz w:val="18"/>
                <w:szCs w:val="18"/>
              </w:rPr>
              <w:t>ay)</w:t>
            </w:r>
          </w:p>
        </w:tc>
      </w:tr>
      <w:tr w:rsidR="00C05144" w:rsidRPr="00625958" w14:paraId="0CF3E891"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B7097D"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1EBE1AAD" w14:textId="77777777" w:rsidTr="00325EB9">
        <w:tc>
          <w:tcPr>
            <w:tcW w:w="14400" w:type="dxa"/>
            <w:gridSpan w:val="2"/>
            <w:tcBorders>
              <w:left w:val="single" w:sz="12" w:space="0" w:color="auto"/>
              <w:right w:val="single" w:sz="12" w:space="0" w:color="auto"/>
            </w:tcBorders>
          </w:tcPr>
          <w:p w14:paraId="30935203" w14:textId="26BACFB2" w:rsidR="00C05144" w:rsidRPr="00625958" w:rsidRDefault="00AF31BA" w:rsidP="00AA12A4">
            <w:pPr>
              <w:jc w:val="both"/>
              <w:rPr>
                <w:sz w:val="18"/>
                <w:szCs w:val="18"/>
              </w:rPr>
            </w:pPr>
            <w:r w:rsidRPr="00625958">
              <w:rPr>
                <w:sz w:val="18"/>
                <w:szCs w:val="18"/>
              </w:rPr>
              <w:t xml:space="preserve">For the year of 2019 J.P. Morgan Bank Luxembourg S.A. Agency Securities Lending business operated in an agency capacity. Client orders are defined by contractual arrangements (Securities Lending Agreement). A ‘standing order’ </w:t>
            </w:r>
            <w:r w:rsidR="00C05144" w:rsidRPr="00625958">
              <w:rPr>
                <w:sz w:val="18"/>
                <w:szCs w:val="18"/>
              </w:rPr>
              <w:t xml:space="preserve">is received by every in-scope client prior to their entry into the securities lending programme.  For the </w:t>
            </w:r>
            <w:r w:rsidR="00DE2D0F" w:rsidRPr="00625958">
              <w:rPr>
                <w:sz w:val="18"/>
                <w:szCs w:val="18"/>
              </w:rPr>
              <w:t xml:space="preserve"> J.P. Morgan Bank Luxembourg S.A. Agency Securities Lending</w:t>
            </w:r>
            <w:r w:rsidR="00C05144" w:rsidRPr="00625958">
              <w:rPr>
                <w:sz w:val="18"/>
                <w:szCs w:val="18"/>
              </w:rPr>
              <w:t xml:space="preserve"> </w:t>
            </w:r>
            <w:r w:rsidR="00AA12A4" w:rsidRPr="00625958">
              <w:rPr>
                <w:sz w:val="18"/>
                <w:szCs w:val="18"/>
              </w:rPr>
              <w:t>Business</w:t>
            </w:r>
            <w:r w:rsidR="00C05144" w:rsidRPr="00625958">
              <w:rPr>
                <w:sz w:val="18"/>
                <w:szCs w:val="18"/>
              </w:rPr>
              <w:t xml:space="preserve">, Best Execution was monitored by performing post trade checks using </w:t>
            </w:r>
            <w:r w:rsidR="00C05144" w:rsidRPr="00625958">
              <w:rPr>
                <w:color w:val="000000" w:themeColor="text1"/>
                <w:sz w:val="18"/>
                <w:szCs w:val="18"/>
              </w:rPr>
              <w:t xml:space="preserve">exception reporting whereby current fees/rebates of open loans are compared to rates supplied by a third party vendor transactions to identify outliers. </w:t>
            </w:r>
            <w:r w:rsidR="00C05144" w:rsidRPr="00625958">
              <w:rPr>
                <w:sz w:val="18"/>
                <w:szCs w:val="18"/>
              </w:rPr>
              <w:t>For all in scope transactions, the review found that</w:t>
            </w:r>
            <w:r w:rsidR="00C05144" w:rsidRPr="00625958">
              <w:rPr>
                <w:color w:val="FF0000"/>
                <w:sz w:val="18"/>
                <w:szCs w:val="18"/>
              </w:rPr>
              <w:t xml:space="preserve"> </w:t>
            </w:r>
            <w:r w:rsidR="00C05144" w:rsidRPr="00625958">
              <w:rPr>
                <w:sz w:val="18"/>
                <w:szCs w:val="18"/>
              </w:rPr>
              <w:t xml:space="preserve">the obligation of Best Execution was met and that the correct decision making process was followed. </w:t>
            </w:r>
            <w:r w:rsidR="00C05144" w:rsidRPr="00625958">
              <w:rPr>
                <w:color w:val="000000" w:themeColor="text1"/>
                <w:sz w:val="18"/>
                <w:szCs w:val="18"/>
              </w:rPr>
              <w:t> </w:t>
            </w:r>
          </w:p>
        </w:tc>
      </w:tr>
      <w:tr w:rsidR="00C05144" w:rsidRPr="00625958" w14:paraId="24DF4877" w14:textId="77777777" w:rsidTr="00325EB9">
        <w:tc>
          <w:tcPr>
            <w:tcW w:w="4410" w:type="dxa"/>
            <w:tcBorders>
              <w:left w:val="single" w:sz="12" w:space="0" w:color="auto"/>
            </w:tcBorders>
            <w:shd w:val="clear" w:color="auto" w:fill="D9D9D9" w:themeFill="background1" w:themeFillShade="D9"/>
          </w:tcPr>
          <w:p w14:paraId="7E1233AA" w14:textId="77777777" w:rsidR="00C05144" w:rsidRPr="00625958" w:rsidRDefault="00C05144" w:rsidP="00325EB9">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1B54F247" w14:textId="5A5C65D6" w:rsidR="00C05144" w:rsidRPr="00625958" w:rsidRDefault="00C05144" w:rsidP="0051309F">
            <w:pPr>
              <w:spacing w:after="120"/>
              <w:jc w:val="both"/>
              <w:rPr>
                <w:sz w:val="18"/>
                <w:szCs w:val="18"/>
              </w:rPr>
            </w:pPr>
            <w:r w:rsidRPr="00625958">
              <w:rPr>
                <w:sz w:val="18"/>
                <w:szCs w:val="18"/>
              </w:rPr>
              <w:t xml:space="preserve">Please refer to Execution Policy </w:t>
            </w:r>
            <w:r w:rsidRPr="00625958">
              <w:rPr>
                <w:rStyle w:val="Hyperlink"/>
                <w:sz w:val="18"/>
                <w:szCs w:val="18"/>
              </w:rPr>
              <w:t>J.P. Morgan EMEA Securi</w:t>
            </w:r>
            <w:r w:rsidR="0051309F" w:rsidRPr="00625958">
              <w:rPr>
                <w:rStyle w:val="Hyperlink"/>
                <w:sz w:val="18"/>
                <w:szCs w:val="18"/>
              </w:rPr>
              <w:t>ties Services: Execution Policy</w:t>
            </w:r>
            <w:r w:rsidRPr="00625958">
              <w:rPr>
                <w:rStyle w:val="Hyperlink"/>
                <w:sz w:val="18"/>
                <w:szCs w:val="18"/>
              </w:rPr>
              <w:t>.</w:t>
            </w:r>
            <w:r w:rsidRPr="00625958">
              <w:rPr>
                <w:sz w:val="18"/>
                <w:szCs w:val="18"/>
              </w:rPr>
              <w:t xml:space="preserve"> In this policy, page 7 details the considerations for the key execution factors and page 11 details the factors affecting Agency</w:t>
            </w:r>
            <w:r w:rsidR="00084D21">
              <w:rPr>
                <w:sz w:val="18"/>
                <w:szCs w:val="18"/>
              </w:rPr>
              <w:t xml:space="preserve"> Securities</w:t>
            </w:r>
            <w:r w:rsidRPr="00625958">
              <w:rPr>
                <w:sz w:val="18"/>
                <w:szCs w:val="18"/>
              </w:rPr>
              <w:t xml:space="preserve"> Lending choice of execution venues.</w:t>
            </w:r>
          </w:p>
        </w:tc>
      </w:tr>
      <w:tr w:rsidR="00C05144" w:rsidRPr="00625958" w14:paraId="4D4C1E75" w14:textId="77777777" w:rsidTr="00325EB9">
        <w:trPr>
          <w:trHeight w:val="485"/>
        </w:trPr>
        <w:tc>
          <w:tcPr>
            <w:tcW w:w="4410" w:type="dxa"/>
            <w:tcBorders>
              <w:left w:val="single" w:sz="12" w:space="0" w:color="auto"/>
            </w:tcBorders>
            <w:shd w:val="clear" w:color="auto" w:fill="D9D9D9" w:themeFill="background1" w:themeFillShade="D9"/>
          </w:tcPr>
          <w:p w14:paraId="24EBB95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0231728F" w14:textId="77777777" w:rsidR="00C05144" w:rsidRPr="00625958" w:rsidRDefault="00C05144" w:rsidP="00325EB9">
            <w:pPr>
              <w:rPr>
                <w:sz w:val="18"/>
                <w:szCs w:val="18"/>
              </w:rPr>
            </w:pPr>
            <w:r w:rsidRPr="00625958">
              <w:rPr>
                <w:sz w:val="18"/>
                <w:szCs w:val="18"/>
              </w:rPr>
              <w:t>Not Applicable</w:t>
            </w:r>
          </w:p>
          <w:p w14:paraId="3E047D6A" w14:textId="77777777" w:rsidR="00C05144" w:rsidRPr="00625958" w:rsidRDefault="00C05144" w:rsidP="00325EB9">
            <w:pPr>
              <w:rPr>
                <w:sz w:val="18"/>
                <w:szCs w:val="18"/>
              </w:rPr>
            </w:pPr>
          </w:p>
        </w:tc>
      </w:tr>
      <w:tr w:rsidR="00C05144" w:rsidRPr="00625958" w14:paraId="20DC63A9" w14:textId="77777777" w:rsidTr="00325EB9">
        <w:tc>
          <w:tcPr>
            <w:tcW w:w="4410" w:type="dxa"/>
            <w:tcBorders>
              <w:left w:val="single" w:sz="12" w:space="0" w:color="auto"/>
            </w:tcBorders>
            <w:shd w:val="clear" w:color="auto" w:fill="D9D9D9" w:themeFill="background1" w:themeFillShade="D9"/>
          </w:tcPr>
          <w:p w14:paraId="7C393BE7"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3ABBFF1C" w14:textId="77777777" w:rsidR="00C05144" w:rsidRPr="00625958" w:rsidRDefault="00C05144" w:rsidP="00325EB9">
            <w:pPr>
              <w:rPr>
                <w:sz w:val="18"/>
                <w:szCs w:val="18"/>
              </w:rPr>
            </w:pPr>
            <w:r w:rsidRPr="00625958">
              <w:rPr>
                <w:sz w:val="18"/>
                <w:szCs w:val="18"/>
              </w:rPr>
              <w:t>Not Applicable</w:t>
            </w:r>
          </w:p>
          <w:p w14:paraId="5936A81E" w14:textId="77777777" w:rsidR="00C05144" w:rsidRPr="00625958" w:rsidRDefault="00C05144" w:rsidP="00325EB9">
            <w:pPr>
              <w:rPr>
                <w:sz w:val="18"/>
                <w:szCs w:val="18"/>
              </w:rPr>
            </w:pPr>
          </w:p>
        </w:tc>
      </w:tr>
      <w:tr w:rsidR="00C05144" w:rsidRPr="00625958" w14:paraId="3E75FF33" w14:textId="77777777" w:rsidTr="00325EB9">
        <w:trPr>
          <w:trHeight w:val="368"/>
        </w:trPr>
        <w:tc>
          <w:tcPr>
            <w:tcW w:w="4410" w:type="dxa"/>
            <w:tcBorders>
              <w:left w:val="single" w:sz="12" w:space="0" w:color="auto"/>
            </w:tcBorders>
            <w:shd w:val="clear" w:color="auto" w:fill="D9D9D9" w:themeFill="background1" w:themeFillShade="D9"/>
          </w:tcPr>
          <w:p w14:paraId="41E81F4A"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01052C02" w14:textId="6EF3638B" w:rsidR="00C05144" w:rsidRPr="00625958" w:rsidRDefault="00C05144" w:rsidP="00325EB9">
            <w:pPr>
              <w:spacing w:after="120"/>
              <w:rPr>
                <w:sz w:val="18"/>
                <w:szCs w:val="18"/>
              </w:rPr>
            </w:pPr>
            <w:r w:rsidRPr="00625958">
              <w:rPr>
                <w:sz w:val="18"/>
                <w:szCs w:val="18"/>
              </w:rPr>
              <w:t xml:space="preserve">The list of execution venues can be found at </w:t>
            </w:r>
            <w:hyperlink r:id="rId13" w:history="1">
              <w:r w:rsidRPr="00625958">
                <w:rPr>
                  <w:rStyle w:val="Hyperlink"/>
                  <w:sz w:val="18"/>
                  <w:szCs w:val="18"/>
                </w:rPr>
                <w:t>List of Execution Venues - Appendix 1</w:t>
              </w:r>
            </w:hyperlink>
            <w:r w:rsidRPr="00625958">
              <w:rPr>
                <w:sz w:val="18"/>
                <w:szCs w:val="18"/>
              </w:rPr>
              <w:t>.</w:t>
            </w:r>
            <w:r w:rsidR="00DE2D0F" w:rsidRPr="00625958">
              <w:rPr>
                <w:sz w:val="18"/>
                <w:szCs w:val="18"/>
              </w:rPr>
              <w:t xml:space="preserve">  There has been </w:t>
            </w:r>
            <w:r w:rsidRPr="00625958">
              <w:rPr>
                <w:sz w:val="18"/>
                <w:szCs w:val="18"/>
              </w:rPr>
              <w:t xml:space="preserve">one change in the list of </w:t>
            </w:r>
            <w:r w:rsidR="0072314F" w:rsidRPr="00625958">
              <w:rPr>
                <w:sz w:val="18"/>
                <w:szCs w:val="18"/>
              </w:rPr>
              <w:t xml:space="preserve">execution venues during 2019. </w:t>
            </w:r>
            <w:r w:rsidRPr="00625958">
              <w:rPr>
                <w:sz w:val="18"/>
                <w:szCs w:val="18"/>
              </w:rPr>
              <w:t xml:space="preserve">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tc>
      </w:tr>
      <w:tr w:rsidR="00C05144" w:rsidRPr="00625958" w14:paraId="10041CF1" w14:textId="77777777" w:rsidTr="00325EB9">
        <w:tc>
          <w:tcPr>
            <w:tcW w:w="4410" w:type="dxa"/>
            <w:tcBorders>
              <w:left w:val="single" w:sz="12" w:space="0" w:color="auto"/>
            </w:tcBorders>
            <w:shd w:val="clear" w:color="auto" w:fill="D9D9D9" w:themeFill="background1" w:themeFillShade="D9"/>
          </w:tcPr>
          <w:p w14:paraId="4FCC2364"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65768CCA"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C05144" w:rsidRPr="00625958" w14:paraId="4AA5A6F5" w14:textId="77777777" w:rsidTr="00325EB9">
        <w:tc>
          <w:tcPr>
            <w:tcW w:w="4410" w:type="dxa"/>
            <w:tcBorders>
              <w:left w:val="single" w:sz="12" w:space="0" w:color="auto"/>
            </w:tcBorders>
            <w:shd w:val="clear" w:color="auto" w:fill="D9D9D9" w:themeFill="background1" w:themeFillShade="D9"/>
          </w:tcPr>
          <w:p w14:paraId="08D71130" w14:textId="77777777" w:rsidR="00C05144" w:rsidRPr="00625958" w:rsidRDefault="00C05144" w:rsidP="00325EB9">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3DBB046D" w14:textId="77777777" w:rsidR="00C05144" w:rsidRPr="00625958" w:rsidRDefault="00C05144" w:rsidP="00325EB9">
            <w:pPr>
              <w:spacing w:after="120"/>
              <w:rPr>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C05144" w:rsidRPr="00625958" w14:paraId="436BA651" w14:textId="77777777" w:rsidTr="00325EB9">
        <w:tc>
          <w:tcPr>
            <w:tcW w:w="4410" w:type="dxa"/>
            <w:tcBorders>
              <w:left w:val="single" w:sz="12" w:space="0" w:color="auto"/>
              <w:bottom w:val="single" w:sz="12" w:space="0" w:color="auto"/>
            </w:tcBorders>
            <w:shd w:val="clear" w:color="auto" w:fill="D9D9D9" w:themeFill="background1" w:themeFillShade="D9"/>
          </w:tcPr>
          <w:p w14:paraId="5002EB48"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B0900AD" w14:textId="77777777" w:rsidR="00C05144" w:rsidRPr="00625958" w:rsidRDefault="00C05144" w:rsidP="00325EB9">
            <w:pPr>
              <w:spacing w:after="120"/>
              <w:rPr>
                <w:sz w:val="18"/>
                <w:szCs w:val="18"/>
              </w:rPr>
            </w:pPr>
            <w:r w:rsidRPr="00625958">
              <w:rPr>
                <w:sz w:val="18"/>
                <w:szCs w:val="18"/>
              </w:rPr>
              <w:t xml:space="preserve">Not Applicable. </w:t>
            </w:r>
          </w:p>
        </w:tc>
      </w:tr>
    </w:tbl>
    <w:p w14:paraId="13D8577B" w14:textId="77777777" w:rsidR="00C05144" w:rsidRPr="00625958" w:rsidRDefault="00C05144" w:rsidP="00C05144">
      <w:pPr>
        <w:rPr>
          <w:color w:val="FF0000"/>
          <w:sz w:val="18"/>
          <w:szCs w:val="18"/>
        </w:rPr>
      </w:pPr>
    </w:p>
    <w:p w14:paraId="6DA0CC4B" w14:textId="77777777" w:rsidR="00C05144" w:rsidRPr="00625958" w:rsidRDefault="00C05144" w:rsidP="00C05144">
      <w:pPr>
        <w:rPr>
          <w:color w:val="FF0000"/>
          <w:sz w:val="18"/>
          <w:szCs w:val="18"/>
        </w:rPr>
      </w:pPr>
    </w:p>
    <w:p w14:paraId="4CCA4571" w14:textId="77777777" w:rsidR="00C05144" w:rsidRPr="00625958" w:rsidRDefault="00C05144" w:rsidP="00C05144">
      <w:pPr>
        <w:rPr>
          <w:color w:val="FF0000"/>
          <w:sz w:val="18"/>
          <w:szCs w:val="18"/>
        </w:rPr>
      </w:pPr>
    </w:p>
    <w:p w14:paraId="06D6E4FC" w14:textId="77777777" w:rsidR="00C05144" w:rsidRPr="00625958" w:rsidRDefault="00C05144" w:rsidP="00C05144">
      <w:pPr>
        <w:rPr>
          <w:color w:val="FF0000"/>
          <w:sz w:val="18"/>
          <w:szCs w:val="18"/>
        </w:rPr>
      </w:pPr>
      <w:r w:rsidRPr="00625958">
        <w:rPr>
          <w:color w:val="FF0000"/>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1A3FB24"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D1B3E5B"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9342CB6"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6970212"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AE65053"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0A43521" w14:textId="6CB40C1C"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es &amp; Depositary Receipts: Tick size liquidity bands 5 And 6 (from 2000 trades p</w:t>
            </w:r>
            <w:r w:rsidRPr="00625958">
              <w:rPr>
                <w:color w:val="000000"/>
                <w:sz w:val="18"/>
                <w:szCs w:val="18"/>
              </w:rPr>
              <w:t xml:space="preserve">er </w:t>
            </w:r>
            <w:r w:rsidR="00ED0764" w:rsidRPr="00625958">
              <w:rPr>
                <w:color w:val="000000"/>
                <w:sz w:val="18"/>
                <w:szCs w:val="18"/>
              </w:rPr>
              <w:t>d</w:t>
            </w:r>
            <w:r w:rsidRPr="00625958">
              <w:rPr>
                <w:color w:val="000000"/>
                <w:sz w:val="18"/>
                <w:szCs w:val="18"/>
              </w:rPr>
              <w:t>ay)</w:t>
            </w:r>
          </w:p>
        </w:tc>
      </w:tr>
      <w:tr w:rsidR="00C05144" w:rsidRPr="00625958" w14:paraId="5C985814"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A377536"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72CEB154" w14:textId="77777777" w:rsidTr="00325EB9">
        <w:tc>
          <w:tcPr>
            <w:tcW w:w="14400" w:type="dxa"/>
            <w:gridSpan w:val="2"/>
            <w:tcBorders>
              <w:left w:val="single" w:sz="12" w:space="0" w:color="auto"/>
              <w:right w:val="single" w:sz="12" w:space="0" w:color="auto"/>
            </w:tcBorders>
          </w:tcPr>
          <w:p w14:paraId="08139884" w14:textId="1A49E243" w:rsidR="00C05144" w:rsidRPr="00625958" w:rsidRDefault="00AF31BA" w:rsidP="00AA12A4">
            <w:pPr>
              <w:jc w:val="both"/>
              <w:rPr>
                <w:sz w:val="18"/>
                <w:szCs w:val="18"/>
              </w:rPr>
            </w:pPr>
            <w:r w:rsidRPr="00625958">
              <w:rPr>
                <w:sz w:val="18"/>
                <w:szCs w:val="18"/>
              </w:rPr>
              <w:t xml:space="preserve">For the year of 2019 J.P. Morgan Bank Luxembourg S.A. Agency Securities Lending business operated in an agency capacity. Client orders are defined by contractual arrangements (Securities Lending Agreement). A ‘standing order’ </w:t>
            </w:r>
            <w:r w:rsidR="00C05144" w:rsidRPr="00625958">
              <w:rPr>
                <w:sz w:val="18"/>
                <w:szCs w:val="18"/>
              </w:rPr>
              <w:t>is received by every in-scope client prior to their entry into the securities lending programme</w:t>
            </w:r>
            <w:r w:rsidR="00906C6F" w:rsidRPr="00625958">
              <w:rPr>
                <w:sz w:val="18"/>
                <w:szCs w:val="18"/>
              </w:rPr>
              <w:t>.</w:t>
            </w:r>
            <w:r w:rsidR="00C05144" w:rsidRPr="00625958">
              <w:rPr>
                <w:sz w:val="18"/>
                <w:szCs w:val="18"/>
              </w:rPr>
              <w:t xml:space="preserve"> For the </w:t>
            </w:r>
            <w:r w:rsidR="00ED0764" w:rsidRPr="00625958">
              <w:rPr>
                <w:sz w:val="18"/>
                <w:szCs w:val="18"/>
              </w:rPr>
              <w:t xml:space="preserve"> J.P. Morgan Bank Luxembourg S.A. Agency Securities </w:t>
            </w:r>
            <w:r w:rsidR="00C05144" w:rsidRPr="00625958">
              <w:rPr>
                <w:sz w:val="18"/>
                <w:szCs w:val="18"/>
              </w:rPr>
              <w:t xml:space="preserve">Lending </w:t>
            </w:r>
            <w:r w:rsidR="00AA12A4" w:rsidRPr="00625958">
              <w:rPr>
                <w:sz w:val="18"/>
                <w:szCs w:val="18"/>
              </w:rPr>
              <w:t>Business</w:t>
            </w:r>
            <w:r w:rsidR="00C05144" w:rsidRPr="00625958">
              <w:rPr>
                <w:sz w:val="18"/>
                <w:szCs w:val="18"/>
              </w:rPr>
              <w:t>, Best Execution w</w:t>
            </w:r>
            <w:r w:rsidR="00ED0764" w:rsidRPr="00625958">
              <w:rPr>
                <w:sz w:val="18"/>
                <w:szCs w:val="18"/>
              </w:rPr>
              <w:t>as monitored by performing post-</w:t>
            </w:r>
            <w:r w:rsidR="00C05144" w:rsidRPr="00625958">
              <w:rPr>
                <w:sz w:val="18"/>
                <w:szCs w:val="18"/>
              </w:rPr>
              <w:t xml:space="preserve">trade checks using </w:t>
            </w:r>
            <w:r w:rsidR="00C05144" w:rsidRPr="00625958">
              <w:rPr>
                <w:color w:val="000000" w:themeColor="text1"/>
                <w:sz w:val="18"/>
                <w:szCs w:val="18"/>
              </w:rPr>
              <w:t xml:space="preserve">exception reporting whereby current fees/rebates of open loans are compared to rates supplied by a third party vendor transactions to identify outliers. </w:t>
            </w:r>
            <w:r w:rsidR="00C05144" w:rsidRPr="00625958">
              <w:rPr>
                <w:sz w:val="18"/>
                <w:szCs w:val="18"/>
              </w:rPr>
              <w:t>For all in scope transactions, the review found that</w:t>
            </w:r>
            <w:r w:rsidR="00C05144" w:rsidRPr="00625958">
              <w:rPr>
                <w:color w:val="FF0000"/>
                <w:sz w:val="18"/>
                <w:szCs w:val="18"/>
              </w:rPr>
              <w:t xml:space="preserve"> </w:t>
            </w:r>
            <w:r w:rsidR="00C05144" w:rsidRPr="00625958">
              <w:rPr>
                <w:sz w:val="18"/>
                <w:szCs w:val="18"/>
              </w:rPr>
              <w:t xml:space="preserve">the obligation of Best Execution was met and that the correct decision making process was followed. </w:t>
            </w:r>
            <w:r w:rsidR="00C05144" w:rsidRPr="00625958">
              <w:rPr>
                <w:color w:val="000000" w:themeColor="text1"/>
                <w:sz w:val="18"/>
                <w:szCs w:val="18"/>
              </w:rPr>
              <w:t> </w:t>
            </w:r>
          </w:p>
        </w:tc>
      </w:tr>
      <w:tr w:rsidR="00C05144" w:rsidRPr="00625958" w14:paraId="3FBBA6E3" w14:textId="77777777" w:rsidTr="00325EB9">
        <w:tc>
          <w:tcPr>
            <w:tcW w:w="4410" w:type="dxa"/>
            <w:tcBorders>
              <w:left w:val="single" w:sz="12" w:space="0" w:color="auto"/>
            </w:tcBorders>
            <w:shd w:val="clear" w:color="auto" w:fill="D9D9D9" w:themeFill="background1" w:themeFillShade="D9"/>
          </w:tcPr>
          <w:p w14:paraId="7E75D840" w14:textId="77777777" w:rsidR="00C05144" w:rsidRPr="00625958" w:rsidRDefault="00C05144" w:rsidP="00325EB9">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09F60F75" w14:textId="25BBA5F3" w:rsidR="00C05144" w:rsidRPr="00625958" w:rsidRDefault="00C05144" w:rsidP="0051309F">
            <w:pPr>
              <w:spacing w:after="120"/>
              <w:jc w:val="both"/>
              <w:rPr>
                <w:sz w:val="18"/>
                <w:szCs w:val="18"/>
              </w:rPr>
            </w:pPr>
            <w:r w:rsidRPr="00625958">
              <w:rPr>
                <w:sz w:val="18"/>
                <w:szCs w:val="18"/>
              </w:rPr>
              <w:t xml:space="preserve">Please refer to Execution Policy </w:t>
            </w:r>
            <w:r w:rsidRPr="00625958">
              <w:rPr>
                <w:rStyle w:val="Hyperlink"/>
                <w:sz w:val="18"/>
                <w:szCs w:val="18"/>
              </w:rPr>
              <w:t>J.P. Morgan EMEA Securi</w:t>
            </w:r>
            <w:r w:rsidR="0051309F" w:rsidRPr="00625958">
              <w:rPr>
                <w:rStyle w:val="Hyperlink"/>
                <w:sz w:val="18"/>
                <w:szCs w:val="18"/>
              </w:rPr>
              <w:t>ties Services: Execution Policy</w:t>
            </w:r>
            <w:r w:rsidRPr="00625958">
              <w:rPr>
                <w:rStyle w:val="Hyperlink"/>
                <w:sz w:val="18"/>
                <w:szCs w:val="18"/>
              </w:rPr>
              <w:t>.</w:t>
            </w:r>
            <w:r w:rsidRPr="00625958">
              <w:rPr>
                <w:sz w:val="18"/>
                <w:szCs w:val="18"/>
              </w:rPr>
              <w:t xml:space="preserve"> In this policy, page 7 details the considerations for the key execution factors and page 11 details the factors affecting Agency </w:t>
            </w:r>
            <w:r w:rsidR="00084D21">
              <w:rPr>
                <w:sz w:val="18"/>
                <w:szCs w:val="18"/>
              </w:rPr>
              <w:t xml:space="preserve">Securities </w:t>
            </w:r>
            <w:r w:rsidRPr="00625958">
              <w:rPr>
                <w:sz w:val="18"/>
                <w:szCs w:val="18"/>
              </w:rPr>
              <w:t>Lending choice of execution venues.</w:t>
            </w:r>
          </w:p>
        </w:tc>
      </w:tr>
      <w:tr w:rsidR="00C05144" w:rsidRPr="00625958" w14:paraId="44FA4AC4" w14:textId="77777777" w:rsidTr="00325EB9">
        <w:trPr>
          <w:trHeight w:val="485"/>
        </w:trPr>
        <w:tc>
          <w:tcPr>
            <w:tcW w:w="4410" w:type="dxa"/>
            <w:tcBorders>
              <w:left w:val="single" w:sz="12" w:space="0" w:color="auto"/>
            </w:tcBorders>
            <w:shd w:val="clear" w:color="auto" w:fill="D9D9D9" w:themeFill="background1" w:themeFillShade="D9"/>
          </w:tcPr>
          <w:p w14:paraId="1CFE32D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5EF092C1" w14:textId="77777777" w:rsidR="00C05144" w:rsidRPr="00625958" w:rsidRDefault="00C05144" w:rsidP="00325EB9">
            <w:pPr>
              <w:rPr>
                <w:sz w:val="18"/>
                <w:szCs w:val="18"/>
              </w:rPr>
            </w:pPr>
            <w:r w:rsidRPr="00625958">
              <w:rPr>
                <w:sz w:val="18"/>
                <w:szCs w:val="18"/>
              </w:rPr>
              <w:t>Not Applicable</w:t>
            </w:r>
          </w:p>
          <w:p w14:paraId="4E3AE89A" w14:textId="77777777" w:rsidR="00C05144" w:rsidRPr="00625958" w:rsidRDefault="00C05144" w:rsidP="00325EB9">
            <w:pPr>
              <w:rPr>
                <w:sz w:val="18"/>
                <w:szCs w:val="18"/>
              </w:rPr>
            </w:pPr>
          </w:p>
        </w:tc>
      </w:tr>
      <w:tr w:rsidR="00C05144" w:rsidRPr="00625958" w14:paraId="51C9A61D" w14:textId="77777777" w:rsidTr="00325EB9">
        <w:tc>
          <w:tcPr>
            <w:tcW w:w="4410" w:type="dxa"/>
            <w:tcBorders>
              <w:left w:val="single" w:sz="12" w:space="0" w:color="auto"/>
            </w:tcBorders>
            <w:shd w:val="clear" w:color="auto" w:fill="D9D9D9" w:themeFill="background1" w:themeFillShade="D9"/>
          </w:tcPr>
          <w:p w14:paraId="51130D7B"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62F8FE13" w14:textId="77777777" w:rsidR="00C05144" w:rsidRPr="00625958" w:rsidRDefault="00C05144" w:rsidP="00325EB9">
            <w:pPr>
              <w:rPr>
                <w:sz w:val="18"/>
                <w:szCs w:val="18"/>
              </w:rPr>
            </w:pPr>
            <w:r w:rsidRPr="00625958">
              <w:rPr>
                <w:sz w:val="18"/>
                <w:szCs w:val="18"/>
              </w:rPr>
              <w:t>Not Applicable</w:t>
            </w:r>
          </w:p>
          <w:p w14:paraId="0538094E" w14:textId="77777777" w:rsidR="00C05144" w:rsidRPr="00625958" w:rsidRDefault="00C05144" w:rsidP="00325EB9">
            <w:pPr>
              <w:rPr>
                <w:sz w:val="18"/>
                <w:szCs w:val="18"/>
              </w:rPr>
            </w:pPr>
          </w:p>
        </w:tc>
      </w:tr>
      <w:tr w:rsidR="00C05144" w:rsidRPr="00625958" w14:paraId="67B4C05C" w14:textId="77777777" w:rsidTr="00325EB9">
        <w:trPr>
          <w:trHeight w:val="368"/>
        </w:trPr>
        <w:tc>
          <w:tcPr>
            <w:tcW w:w="4410" w:type="dxa"/>
            <w:tcBorders>
              <w:left w:val="single" w:sz="12" w:space="0" w:color="auto"/>
            </w:tcBorders>
            <w:shd w:val="clear" w:color="auto" w:fill="D9D9D9" w:themeFill="background1" w:themeFillShade="D9"/>
          </w:tcPr>
          <w:p w14:paraId="3FF689E4"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7014C41F" w14:textId="7851A1CB" w:rsidR="00C05144" w:rsidRPr="00625958" w:rsidRDefault="00C05144" w:rsidP="00325EB9">
            <w:pPr>
              <w:spacing w:after="120"/>
              <w:rPr>
                <w:sz w:val="18"/>
                <w:szCs w:val="18"/>
              </w:rPr>
            </w:pPr>
            <w:r w:rsidRPr="00625958">
              <w:rPr>
                <w:sz w:val="18"/>
                <w:szCs w:val="18"/>
              </w:rPr>
              <w:t xml:space="preserve">The list of execution venues can be found at </w:t>
            </w:r>
            <w:hyperlink r:id="rId14" w:history="1">
              <w:r w:rsidRPr="00625958">
                <w:rPr>
                  <w:rStyle w:val="Hyperlink"/>
                  <w:sz w:val="18"/>
                  <w:szCs w:val="18"/>
                </w:rPr>
                <w:t>List of Execution Venues - Appendix 1</w:t>
              </w:r>
            </w:hyperlink>
            <w:r w:rsidR="00906C6F" w:rsidRPr="00625958">
              <w:rPr>
                <w:sz w:val="18"/>
                <w:szCs w:val="18"/>
              </w:rPr>
              <w:t xml:space="preserve">. </w:t>
            </w:r>
            <w:r w:rsidRPr="00625958">
              <w:rPr>
                <w:sz w:val="18"/>
                <w:szCs w:val="18"/>
              </w:rPr>
              <w:t>There</w:t>
            </w:r>
            <w:r w:rsidR="00ED0764" w:rsidRPr="00625958">
              <w:rPr>
                <w:sz w:val="18"/>
                <w:szCs w:val="18"/>
              </w:rPr>
              <w:t xml:space="preserve"> has been </w:t>
            </w:r>
            <w:r w:rsidRPr="00625958">
              <w:rPr>
                <w:sz w:val="18"/>
                <w:szCs w:val="18"/>
              </w:rPr>
              <w:t>one change in the list of</w:t>
            </w:r>
            <w:r w:rsidR="00906C6F" w:rsidRPr="00625958">
              <w:rPr>
                <w:sz w:val="18"/>
                <w:szCs w:val="18"/>
              </w:rPr>
              <w:t xml:space="preserve"> execution venues during 2019.</w:t>
            </w:r>
            <w:r w:rsidRPr="00625958">
              <w:rPr>
                <w:sz w:val="18"/>
                <w:szCs w:val="18"/>
              </w:rPr>
              <w:t xml:space="preserve"> 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tc>
      </w:tr>
      <w:tr w:rsidR="00C05144" w:rsidRPr="00625958" w14:paraId="26D27F00" w14:textId="77777777" w:rsidTr="00325EB9">
        <w:tc>
          <w:tcPr>
            <w:tcW w:w="4410" w:type="dxa"/>
            <w:tcBorders>
              <w:left w:val="single" w:sz="12" w:space="0" w:color="auto"/>
            </w:tcBorders>
            <w:shd w:val="clear" w:color="auto" w:fill="D9D9D9" w:themeFill="background1" w:themeFillShade="D9"/>
          </w:tcPr>
          <w:p w14:paraId="1C44873B"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0C0494F0"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C05144" w:rsidRPr="00625958" w14:paraId="7BD88132" w14:textId="77777777" w:rsidTr="00325EB9">
        <w:tc>
          <w:tcPr>
            <w:tcW w:w="4410" w:type="dxa"/>
            <w:tcBorders>
              <w:left w:val="single" w:sz="12" w:space="0" w:color="auto"/>
            </w:tcBorders>
            <w:shd w:val="clear" w:color="auto" w:fill="D9D9D9" w:themeFill="background1" w:themeFillShade="D9"/>
          </w:tcPr>
          <w:p w14:paraId="745EE53C" w14:textId="77777777" w:rsidR="00C05144" w:rsidRPr="00625958" w:rsidRDefault="00C05144" w:rsidP="00325EB9">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778D1E83" w14:textId="77777777" w:rsidR="00C05144" w:rsidRPr="00625958" w:rsidRDefault="00C05144" w:rsidP="00325EB9">
            <w:pPr>
              <w:spacing w:after="120"/>
              <w:rPr>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C05144" w:rsidRPr="00625958" w14:paraId="27DD327C" w14:textId="77777777" w:rsidTr="00325EB9">
        <w:tc>
          <w:tcPr>
            <w:tcW w:w="4410" w:type="dxa"/>
            <w:tcBorders>
              <w:left w:val="single" w:sz="12" w:space="0" w:color="auto"/>
              <w:bottom w:val="single" w:sz="12" w:space="0" w:color="auto"/>
            </w:tcBorders>
            <w:shd w:val="clear" w:color="auto" w:fill="D9D9D9" w:themeFill="background1" w:themeFillShade="D9"/>
          </w:tcPr>
          <w:p w14:paraId="3BE153E0"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E5B83D4" w14:textId="77777777" w:rsidR="00C05144" w:rsidRPr="00625958" w:rsidRDefault="00C05144" w:rsidP="00325EB9">
            <w:pPr>
              <w:spacing w:after="120"/>
              <w:rPr>
                <w:sz w:val="18"/>
                <w:szCs w:val="18"/>
              </w:rPr>
            </w:pPr>
            <w:r w:rsidRPr="00625958">
              <w:rPr>
                <w:sz w:val="18"/>
                <w:szCs w:val="18"/>
              </w:rPr>
              <w:t xml:space="preserve">Not Applicable. </w:t>
            </w:r>
          </w:p>
        </w:tc>
      </w:tr>
    </w:tbl>
    <w:p w14:paraId="6BE68A0C" w14:textId="77777777" w:rsidR="00C05144" w:rsidRPr="00625958" w:rsidRDefault="00C05144" w:rsidP="00C05144">
      <w:pPr>
        <w:rPr>
          <w:color w:val="FF0000"/>
          <w:sz w:val="18"/>
          <w:szCs w:val="18"/>
        </w:rPr>
      </w:pPr>
    </w:p>
    <w:p w14:paraId="064AE7BF" w14:textId="77777777" w:rsidR="00C05144" w:rsidRPr="00625958" w:rsidRDefault="00C05144" w:rsidP="00C05144">
      <w:pPr>
        <w:rPr>
          <w:color w:val="FF0000"/>
          <w:sz w:val="18"/>
          <w:szCs w:val="18"/>
        </w:rPr>
      </w:pPr>
    </w:p>
    <w:p w14:paraId="02A947C2" w14:textId="77777777" w:rsidR="00C05144" w:rsidRPr="00625958" w:rsidRDefault="00C05144" w:rsidP="00C05144">
      <w:pPr>
        <w:rPr>
          <w:color w:val="FF0000"/>
          <w:sz w:val="18"/>
          <w:szCs w:val="18"/>
        </w:rPr>
      </w:pPr>
    </w:p>
    <w:p w14:paraId="333287E3" w14:textId="77777777" w:rsidR="00C05144" w:rsidRPr="00625958" w:rsidRDefault="00C05144" w:rsidP="00C05144">
      <w:pPr>
        <w:rPr>
          <w:color w:val="FF0000"/>
          <w:sz w:val="18"/>
          <w:szCs w:val="18"/>
        </w:rPr>
      </w:pPr>
      <w:r w:rsidRPr="00625958">
        <w:rPr>
          <w:color w:val="FF0000"/>
          <w:sz w:val="18"/>
          <w:szCs w:val="18"/>
        </w:rPr>
        <w:br w:type="page"/>
      </w:r>
    </w:p>
    <w:p w14:paraId="3493E1F7" w14:textId="77777777" w:rsidR="00C05144" w:rsidRPr="00625958" w:rsidRDefault="00C05144" w:rsidP="00C05144">
      <w:pPr>
        <w:rPr>
          <w:color w:val="FF0000"/>
          <w:sz w:val="18"/>
          <w:szCs w:val="18"/>
        </w:rPr>
      </w:pPr>
    </w:p>
    <w:p w14:paraId="28508AB0" w14:textId="77777777" w:rsidR="00C05144" w:rsidRPr="00625958" w:rsidRDefault="00C05144" w:rsidP="00C05144">
      <w:pPr>
        <w:rPr>
          <w:color w:val="FF0000"/>
          <w:sz w:val="18"/>
          <w:szCs w:val="18"/>
        </w:rPr>
      </w:pPr>
    </w:p>
    <w:p w14:paraId="34E54021" w14:textId="77777777" w:rsidR="00C05144" w:rsidRPr="00625958" w:rsidRDefault="00C05144" w:rsidP="00C05144">
      <w:pPr>
        <w:rPr>
          <w:color w:val="FF0000"/>
          <w:sz w:val="18"/>
          <w:szCs w:val="18"/>
        </w:rPr>
      </w:pPr>
    </w:p>
    <w:p w14:paraId="59DA02AF"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E0ADE02"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BA5E578"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660E3AA"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08FADD1C"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F39FC2"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4B5B0" w14:textId="6CB78CE4" w:rsidR="00C05144" w:rsidRPr="00625958" w:rsidRDefault="00ED0764" w:rsidP="00325EB9">
            <w:pPr>
              <w:rPr>
                <w:color w:val="000000"/>
                <w:sz w:val="18"/>
                <w:szCs w:val="18"/>
              </w:rPr>
            </w:pPr>
            <w:r w:rsidRPr="00625958">
              <w:rPr>
                <w:color w:val="000000"/>
                <w:sz w:val="18"/>
                <w:szCs w:val="18"/>
              </w:rPr>
              <w:t>Exchange traded products (Exchange traded funds, exchange traded notes and exchange t</w:t>
            </w:r>
            <w:r w:rsidR="00C05144" w:rsidRPr="00625958">
              <w:rPr>
                <w:color w:val="000000"/>
                <w:sz w:val="18"/>
                <w:szCs w:val="18"/>
              </w:rPr>
              <w:t xml:space="preserve">raded </w:t>
            </w:r>
            <w:r w:rsidRPr="00625958">
              <w:rPr>
                <w:color w:val="000000"/>
                <w:sz w:val="18"/>
                <w:szCs w:val="18"/>
              </w:rPr>
              <w:t>c</w:t>
            </w:r>
            <w:r w:rsidR="00C05144" w:rsidRPr="00625958">
              <w:rPr>
                <w:color w:val="000000"/>
                <w:sz w:val="18"/>
                <w:szCs w:val="18"/>
              </w:rPr>
              <w:t>ommodities)</w:t>
            </w:r>
          </w:p>
        </w:tc>
      </w:tr>
      <w:tr w:rsidR="00C05144" w:rsidRPr="00625958" w14:paraId="1695916C"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B01292E"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71610F84" w14:textId="77777777" w:rsidTr="00325EB9">
        <w:tc>
          <w:tcPr>
            <w:tcW w:w="14400" w:type="dxa"/>
            <w:gridSpan w:val="2"/>
            <w:tcBorders>
              <w:left w:val="single" w:sz="12" w:space="0" w:color="auto"/>
              <w:right w:val="single" w:sz="12" w:space="0" w:color="auto"/>
            </w:tcBorders>
          </w:tcPr>
          <w:p w14:paraId="79F2C449" w14:textId="23A65894" w:rsidR="00C05144" w:rsidRPr="00625958" w:rsidRDefault="00AF31BA" w:rsidP="00AA12A4">
            <w:pPr>
              <w:jc w:val="both"/>
              <w:rPr>
                <w:sz w:val="18"/>
                <w:szCs w:val="18"/>
              </w:rPr>
            </w:pPr>
            <w:r w:rsidRPr="00625958">
              <w:rPr>
                <w:sz w:val="18"/>
                <w:szCs w:val="18"/>
              </w:rPr>
              <w:t xml:space="preserve">For the year of 2019 J.P. Morgan Bank Luxembourg S.A. Agency Securities Lending business operated in an agency capacity. Client orders are defined by contractual arrangements (Securities Lending Agreement). A ‘standing order’ </w:t>
            </w:r>
            <w:r w:rsidR="00C05144" w:rsidRPr="00625958">
              <w:rPr>
                <w:sz w:val="18"/>
                <w:szCs w:val="18"/>
              </w:rPr>
              <w:t>is received by every in-scope client prior to their entry into the securities lending programme</w:t>
            </w:r>
            <w:r w:rsidR="00ED0764" w:rsidRPr="00625958">
              <w:rPr>
                <w:sz w:val="18"/>
                <w:szCs w:val="18"/>
              </w:rPr>
              <w:t>.</w:t>
            </w:r>
            <w:r w:rsidR="00C05144" w:rsidRPr="00625958">
              <w:rPr>
                <w:sz w:val="18"/>
                <w:szCs w:val="18"/>
              </w:rPr>
              <w:t xml:space="preserve"> For </w:t>
            </w:r>
            <w:r w:rsidR="00ED0764" w:rsidRPr="00625958">
              <w:rPr>
                <w:sz w:val="18"/>
                <w:szCs w:val="18"/>
              </w:rPr>
              <w:t xml:space="preserve">the J.P. Morgan Bank Luxembourg S.A. Agency Securities </w:t>
            </w:r>
            <w:r w:rsidR="00C05144" w:rsidRPr="00625958">
              <w:rPr>
                <w:sz w:val="18"/>
                <w:szCs w:val="18"/>
              </w:rPr>
              <w:t xml:space="preserve">Lending </w:t>
            </w:r>
            <w:r w:rsidR="00AA12A4" w:rsidRPr="00625958">
              <w:rPr>
                <w:sz w:val="18"/>
                <w:szCs w:val="18"/>
              </w:rPr>
              <w:t>Business</w:t>
            </w:r>
            <w:r w:rsidR="00C05144" w:rsidRPr="00625958">
              <w:rPr>
                <w:sz w:val="18"/>
                <w:szCs w:val="18"/>
              </w:rPr>
              <w:t xml:space="preserve">, Best Execution was monitored by performing post trade checks using </w:t>
            </w:r>
            <w:r w:rsidR="00C05144" w:rsidRPr="00625958">
              <w:rPr>
                <w:color w:val="000000" w:themeColor="text1"/>
                <w:sz w:val="18"/>
                <w:szCs w:val="18"/>
              </w:rPr>
              <w:t xml:space="preserve">exception reporting whereby current fees/rebates of open loans are compared to rates supplied by a third party vendor transactions to identify outliers. </w:t>
            </w:r>
            <w:r w:rsidR="00C05144" w:rsidRPr="00625958">
              <w:rPr>
                <w:sz w:val="18"/>
                <w:szCs w:val="18"/>
              </w:rPr>
              <w:t>For all in scope transactions, the review found that</w:t>
            </w:r>
            <w:r w:rsidR="00C05144" w:rsidRPr="00625958">
              <w:rPr>
                <w:color w:val="FF0000"/>
                <w:sz w:val="18"/>
                <w:szCs w:val="18"/>
              </w:rPr>
              <w:t xml:space="preserve"> </w:t>
            </w:r>
            <w:r w:rsidR="00C05144" w:rsidRPr="00625958">
              <w:rPr>
                <w:sz w:val="18"/>
                <w:szCs w:val="18"/>
              </w:rPr>
              <w:t xml:space="preserve">the obligation of Best Execution was met and that the correct decision making process was followed. </w:t>
            </w:r>
            <w:r w:rsidR="00C05144" w:rsidRPr="00625958">
              <w:rPr>
                <w:color w:val="000000" w:themeColor="text1"/>
                <w:sz w:val="18"/>
                <w:szCs w:val="18"/>
              </w:rPr>
              <w:t> </w:t>
            </w:r>
          </w:p>
        </w:tc>
      </w:tr>
      <w:tr w:rsidR="00C05144" w:rsidRPr="00625958" w14:paraId="3CE4B1B4" w14:textId="77777777" w:rsidTr="00325EB9">
        <w:tc>
          <w:tcPr>
            <w:tcW w:w="4410" w:type="dxa"/>
            <w:tcBorders>
              <w:left w:val="single" w:sz="12" w:space="0" w:color="auto"/>
            </w:tcBorders>
            <w:shd w:val="clear" w:color="auto" w:fill="D9D9D9" w:themeFill="background1" w:themeFillShade="D9"/>
          </w:tcPr>
          <w:p w14:paraId="339D237B" w14:textId="77777777" w:rsidR="00C05144" w:rsidRPr="00625958" w:rsidRDefault="00C05144" w:rsidP="00325EB9">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2E66E825" w14:textId="2ADA21A3" w:rsidR="00C05144" w:rsidRPr="00625958" w:rsidRDefault="00C05144" w:rsidP="0051309F">
            <w:pPr>
              <w:spacing w:after="120"/>
              <w:jc w:val="both"/>
              <w:rPr>
                <w:sz w:val="18"/>
                <w:szCs w:val="18"/>
              </w:rPr>
            </w:pPr>
            <w:r w:rsidRPr="00625958">
              <w:rPr>
                <w:sz w:val="18"/>
                <w:szCs w:val="18"/>
              </w:rPr>
              <w:t xml:space="preserve">Please refer to Execution Policy </w:t>
            </w:r>
            <w:r w:rsidRPr="00625958">
              <w:rPr>
                <w:rStyle w:val="Hyperlink"/>
                <w:sz w:val="18"/>
                <w:szCs w:val="18"/>
              </w:rPr>
              <w:t>J.P. Morgan EMEA Securi</w:t>
            </w:r>
            <w:r w:rsidR="0051309F" w:rsidRPr="00625958">
              <w:rPr>
                <w:rStyle w:val="Hyperlink"/>
                <w:sz w:val="18"/>
                <w:szCs w:val="18"/>
              </w:rPr>
              <w:t>ties Services: Execution Policy</w:t>
            </w:r>
            <w:r w:rsidRPr="00625958">
              <w:rPr>
                <w:rStyle w:val="Hyperlink"/>
                <w:sz w:val="18"/>
                <w:szCs w:val="18"/>
              </w:rPr>
              <w:t>.</w:t>
            </w:r>
            <w:r w:rsidRPr="00625958">
              <w:rPr>
                <w:sz w:val="18"/>
                <w:szCs w:val="18"/>
              </w:rPr>
              <w:t xml:space="preserve"> In this policy, page 7 details the considerations for the key execution factors and page 11 details the factors affecting Agency</w:t>
            </w:r>
            <w:r w:rsidR="00084D21">
              <w:rPr>
                <w:sz w:val="18"/>
                <w:szCs w:val="18"/>
              </w:rPr>
              <w:t xml:space="preserve"> Securities</w:t>
            </w:r>
            <w:r w:rsidRPr="00625958">
              <w:rPr>
                <w:sz w:val="18"/>
                <w:szCs w:val="18"/>
              </w:rPr>
              <w:t xml:space="preserve"> Lending choice of execution venues.</w:t>
            </w:r>
          </w:p>
        </w:tc>
      </w:tr>
      <w:tr w:rsidR="00C05144" w:rsidRPr="00625958" w14:paraId="6CCF613F" w14:textId="77777777" w:rsidTr="00325EB9">
        <w:trPr>
          <w:trHeight w:val="485"/>
        </w:trPr>
        <w:tc>
          <w:tcPr>
            <w:tcW w:w="4410" w:type="dxa"/>
            <w:tcBorders>
              <w:left w:val="single" w:sz="12" w:space="0" w:color="auto"/>
            </w:tcBorders>
            <w:shd w:val="clear" w:color="auto" w:fill="D9D9D9" w:themeFill="background1" w:themeFillShade="D9"/>
          </w:tcPr>
          <w:p w14:paraId="2C820D3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144129F5" w14:textId="77777777" w:rsidR="00C05144" w:rsidRPr="00625958" w:rsidRDefault="00C05144" w:rsidP="00325EB9">
            <w:pPr>
              <w:rPr>
                <w:sz w:val="18"/>
                <w:szCs w:val="18"/>
              </w:rPr>
            </w:pPr>
            <w:r w:rsidRPr="00625958">
              <w:rPr>
                <w:sz w:val="18"/>
                <w:szCs w:val="18"/>
              </w:rPr>
              <w:t>Not Applicable</w:t>
            </w:r>
          </w:p>
          <w:p w14:paraId="22F359F9" w14:textId="77777777" w:rsidR="00C05144" w:rsidRPr="00625958" w:rsidRDefault="00C05144" w:rsidP="00325EB9">
            <w:pPr>
              <w:rPr>
                <w:sz w:val="18"/>
                <w:szCs w:val="18"/>
              </w:rPr>
            </w:pPr>
          </w:p>
        </w:tc>
      </w:tr>
      <w:tr w:rsidR="00C05144" w:rsidRPr="00625958" w14:paraId="2DCABE8A" w14:textId="77777777" w:rsidTr="00325EB9">
        <w:tc>
          <w:tcPr>
            <w:tcW w:w="4410" w:type="dxa"/>
            <w:tcBorders>
              <w:left w:val="single" w:sz="12" w:space="0" w:color="auto"/>
            </w:tcBorders>
            <w:shd w:val="clear" w:color="auto" w:fill="D9D9D9" w:themeFill="background1" w:themeFillShade="D9"/>
          </w:tcPr>
          <w:p w14:paraId="6AD2AC23"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2F22BD77" w14:textId="77777777" w:rsidR="00C05144" w:rsidRPr="00625958" w:rsidRDefault="00C05144" w:rsidP="00325EB9">
            <w:pPr>
              <w:rPr>
                <w:sz w:val="18"/>
                <w:szCs w:val="18"/>
              </w:rPr>
            </w:pPr>
            <w:r w:rsidRPr="00625958">
              <w:rPr>
                <w:sz w:val="18"/>
                <w:szCs w:val="18"/>
              </w:rPr>
              <w:t>Not Applicable</w:t>
            </w:r>
          </w:p>
          <w:p w14:paraId="62CB56B8" w14:textId="77777777" w:rsidR="00C05144" w:rsidRPr="00625958" w:rsidRDefault="00C05144" w:rsidP="00325EB9">
            <w:pPr>
              <w:rPr>
                <w:sz w:val="18"/>
                <w:szCs w:val="18"/>
              </w:rPr>
            </w:pPr>
          </w:p>
        </w:tc>
      </w:tr>
      <w:tr w:rsidR="00C05144" w:rsidRPr="00625958" w14:paraId="5CB74EC0" w14:textId="77777777" w:rsidTr="00325EB9">
        <w:trPr>
          <w:trHeight w:val="368"/>
        </w:trPr>
        <w:tc>
          <w:tcPr>
            <w:tcW w:w="4410" w:type="dxa"/>
            <w:tcBorders>
              <w:left w:val="single" w:sz="12" w:space="0" w:color="auto"/>
            </w:tcBorders>
            <w:shd w:val="clear" w:color="auto" w:fill="D9D9D9" w:themeFill="background1" w:themeFillShade="D9"/>
          </w:tcPr>
          <w:p w14:paraId="55FC8AF9"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546C604D" w14:textId="26EB3A43" w:rsidR="00C05144" w:rsidRPr="00625958" w:rsidRDefault="00C05144" w:rsidP="00325EB9">
            <w:pPr>
              <w:spacing w:after="120"/>
              <w:rPr>
                <w:sz w:val="18"/>
                <w:szCs w:val="18"/>
              </w:rPr>
            </w:pPr>
            <w:r w:rsidRPr="00625958">
              <w:rPr>
                <w:sz w:val="18"/>
                <w:szCs w:val="18"/>
              </w:rPr>
              <w:t xml:space="preserve">The list of execution venues can be found at </w:t>
            </w:r>
            <w:hyperlink r:id="rId15" w:history="1">
              <w:r w:rsidRPr="00625958">
                <w:rPr>
                  <w:rStyle w:val="Hyperlink"/>
                  <w:sz w:val="18"/>
                  <w:szCs w:val="18"/>
                </w:rPr>
                <w:t>List of Execution Venues - Appendix 1</w:t>
              </w:r>
            </w:hyperlink>
            <w:r w:rsidR="0072314F" w:rsidRPr="00625958">
              <w:rPr>
                <w:sz w:val="18"/>
                <w:szCs w:val="18"/>
              </w:rPr>
              <w:t xml:space="preserve">. </w:t>
            </w:r>
            <w:r w:rsidRPr="00625958">
              <w:rPr>
                <w:sz w:val="18"/>
                <w:szCs w:val="18"/>
              </w:rPr>
              <w:t>There</w:t>
            </w:r>
            <w:r w:rsidR="00ED0764" w:rsidRPr="00625958">
              <w:rPr>
                <w:sz w:val="18"/>
                <w:szCs w:val="18"/>
              </w:rPr>
              <w:t xml:space="preserve"> has been </w:t>
            </w:r>
            <w:r w:rsidRPr="00625958">
              <w:rPr>
                <w:sz w:val="18"/>
                <w:szCs w:val="18"/>
              </w:rPr>
              <w:t>one change in the list of</w:t>
            </w:r>
            <w:r w:rsidR="00ED0764" w:rsidRPr="00625958">
              <w:rPr>
                <w:sz w:val="18"/>
                <w:szCs w:val="18"/>
              </w:rPr>
              <w:t xml:space="preserve"> execution venues during 2019.</w:t>
            </w:r>
            <w:r w:rsidRPr="00625958">
              <w:rPr>
                <w:sz w:val="18"/>
                <w:szCs w:val="18"/>
              </w:rPr>
              <w:t xml:space="preserve"> From September 2019 </w:t>
            </w:r>
            <w:proofErr w:type="spellStart"/>
            <w:r w:rsidRPr="00625958">
              <w:rPr>
                <w:sz w:val="18"/>
                <w:szCs w:val="18"/>
              </w:rPr>
              <w:t>Equilend</w:t>
            </w:r>
            <w:proofErr w:type="spellEnd"/>
            <w:r w:rsidRPr="00625958">
              <w:rPr>
                <w:sz w:val="18"/>
                <w:szCs w:val="18"/>
              </w:rPr>
              <w:t xml:space="preserve"> introduced an additional MTF known as </w:t>
            </w:r>
            <w:proofErr w:type="spellStart"/>
            <w:r w:rsidRPr="00625958">
              <w:rPr>
                <w:sz w:val="18"/>
                <w:szCs w:val="18"/>
              </w:rPr>
              <w:t>Equilend</w:t>
            </w:r>
            <w:proofErr w:type="spellEnd"/>
            <w:r w:rsidRPr="00625958">
              <w:rPr>
                <w:sz w:val="18"/>
                <w:szCs w:val="18"/>
              </w:rPr>
              <w:t xml:space="preserve"> Irish MTF, in addition to the existing </w:t>
            </w:r>
            <w:proofErr w:type="spellStart"/>
            <w:r w:rsidRPr="00625958">
              <w:rPr>
                <w:sz w:val="18"/>
                <w:szCs w:val="18"/>
              </w:rPr>
              <w:t>Equilend</w:t>
            </w:r>
            <w:proofErr w:type="spellEnd"/>
            <w:r w:rsidRPr="00625958">
              <w:rPr>
                <w:sz w:val="18"/>
                <w:szCs w:val="18"/>
              </w:rPr>
              <w:t xml:space="preserve"> UK MTF.</w:t>
            </w:r>
          </w:p>
        </w:tc>
      </w:tr>
      <w:tr w:rsidR="00C05144" w:rsidRPr="00625958" w14:paraId="58B1CC57" w14:textId="77777777" w:rsidTr="00325EB9">
        <w:tc>
          <w:tcPr>
            <w:tcW w:w="4410" w:type="dxa"/>
            <w:tcBorders>
              <w:left w:val="single" w:sz="12" w:space="0" w:color="auto"/>
            </w:tcBorders>
            <w:shd w:val="clear" w:color="auto" w:fill="D9D9D9" w:themeFill="background1" w:themeFillShade="D9"/>
          </w:tcPr>
          <w:p w14:paraId="7F550159"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7B21BF38"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C05144" w:rsidRPr="00625958" w14:paraId="3F49F834" w14:textId="77777777" w:rsidTr="00325EB9">
        <w:tc>
          <w:tcPr>
            <w:tcW w:w="4410" w:type="dxa"/>
            <w:tcBorders>
              <w:left w:val="single" w:sz="12" w:space="0" w:color="auto"/>
            </w:tcBorders>
            <w:shd w:val="clear" w:color="auto" w:fill="D9D9D9" w:themeFill="background1" w:themeFillShade="D9"/>
          </w:tcPr>
          <w:p w14:paraId="37F90F55" w14:textId="77777777" w:rsidR="00C05144" w:rsidRPr="00625958" w:rsidRDefault="00C05144" w:rsidP="00325EB9">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68CDEEAB" w14:textId="77777777" w:rsidR="00C05144" w:rsidRPr="00625958" w:rsidRDefault="00C05144" w:rsidP="00325EB9">
            <w:pPr>
              <w:spacing w:after="120"/>
              <w:rPr>
                <w:sz w:val="18"/>
                <w:szCs w:val="18"/>
              </w:rPr>
            </w:pPr>
            <w:r w:rsidRPr="00625958">
              <w:rPr>
                <w:sz w:val="18"/>
                <w:szCs w:val="18"/>
              </w:rPr>
              <w:t xml:space="preserve">J.P. Morgan Bank Luxembourg S.A. </w:t>
            </w:r>
            <w:r w:rsidRPr="00625958">
              <w:rPr>
                <w:color w:val="000000" w:themeColor="text1"/>
                <w:sz w:val="18"/>
                <w:szCs w:val="18"/>
              </w:rPr>
              <w:t>assessed the fairness of pricing of loans subject to Best Execution by comparing open loan fees and rebates to rates supplied by third party vendors.</w:t>
            </w:r>
          </w:p>
        </w:tc>
      </w:tr>
      <w:tr w:rsidR="00C05144" w:rsidRPr="00625958" w14:paraId="10A391B6" w14:textId="77777777" w:rsidTr="00325EB9">
        <w:tc>
          <w:tcPr>
            <w:tcW w:w="4410" w:type="dxa"/>
            <w:tcBorders>
              <w:left w:val="single" w:sz="12" w:space="0" w:color="auto"/>
            </w:tcBorders>
            <w:shd w:val="clear" w:color="auto" w:fill="D9D9D9" w:themeFill="background1" w:themeFillShade="D9"/>
          </w:tcPr>
          <w:p w14:paraId="13C3B3D1"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right w:val="single" w:sz="12" w:space="0" w:color="auto"/>
            </w:tcBorders>
          </w:tcPr>
          <w:p w14:paraId="55D612FF" w14:textId="77777777" w:rsidR="00C05144" w:rsidRPr="00625958" w:rsidRDefault="00C05144" w:rsidP="00325EB9">
            <w:pPr>
              <w:spacing w:after="120"/>
              <w:rPr>
                <w:sz w:val="18"/>
                <w:szCs w:val="18"/>
              </w:rPr>
            </w:pPr>
            <w:r w:rsidRPr="00625958">
              <w:rPr>
                <w:sz w:val="18"/>
                <w:szCs w:val="18"/>
              </w:rPr>
              <w:t xml:space="preserve">Not Applicable. </w:t>
            </w:r>
          </w:p>
        </w:tc>
      </w:tr>
    </w:tbl>
    <w:p w14:paraId="6366DCDA" w14:textId="11FE2FA6" w:rsidR="00C05144" w:rsidRPr="00625958" w:rsidRDefault="00C05144">
      <w:pPr>
        <w:rPr>
          <w:sz w:val="18"/>
          <w:szCs w:val="18"/>
        </w:rPr>
      </w:pPr>
    </w:p>
    <w:p w14:paraId="4A28C7BD" w14:textId="77777777" w:rsidR="00B511D7" w:rsidRPr="00625958" w:rsidRDefault="00B511D7" w:rsidP="00811842">
      <w:pPr>
        <w:rPr>
          <w:sz w:val="18"/>
          <w:szCs w:val="18"/>
        </w:rPr>
      </w:pPr>
      <w:bookmarkStart w:id="0" w:name="_GoBack"/>
      <w:bookmarkEnd w:id="0"/>
    </w:p>
    <w:sectPr w:rsidR="00B511D7" w:rsidRPr="00625958" w:rsidSect="00791919">
      <w:footerReference w:type="default" r:id="rId16"/>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3B1BF9E6" w:rsidR="00791919" w:rsidRPr="00B90A00" w:rsidRDefault="00B90A00" w:rsidP="00B90A00">
    <w:pPr>
      <w:ind w:right="432"/>
      <w:rPr>
        <w:sz w:val="18"/>
        <w:szCs w:val="18"/>
      </w:rPr>
    </w:pPr>
    <w:r w:rsidRPr="00E16006">
      <w:rPr>
        <w:sz w:val="18"/>
        <w:szCs w:val="18"/>
      </w:rPr>
      <w:t xml:space="preserve">J.P. </w:t>
    </w:r>
    <w:r>
      <w:rPr>
        <w:sz w:val="18"/>
        <w:szCs w:val="18"/>
      </w:rPr>
      <w:t>Morgan Bank</w:t>
    </w:r>
    <w:r w:rsidRPr="00E16006">
      <w:rPr>
        <w:sz w:val="18"/>
        <w:szCs w:val="18"/>
      </w:rPr>
      <w:t xml:space="preserve"> </w:t>
    </w:r>
    <w:r>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B985D3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B985D3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498C"/>
    <w:rsid w:val="000254A4"/>
    <w:rsid w:val="0003509A"/>
    <w:rsid w:val="000469E1"/>
    <w:rsid w:val="00070C4A"/>
    <w:rsid w:val="00084D21"/>
    <w:rsid w:val="00095DA8"/>
    <w:rsid w:val="0009740E"/>
    <w:rsid w:val="000B29B9"/>
    <w:rsid w:val="000F5717"/>
    <w:rsid w:val="00141D70"/>
    <w:rsid w:val="00167578"/>
    <w:rsid w:val="00184F73"/>
    <w:rsid w:val="00192129"/>
    <w:rsid w:val="001D0CA7"/>
    <w:rsid w:val="001E4046"/>
    <w:rsid w:val="00210DEB"/>
    <w:rsid w:val="00217666"/>
    <w:rsid w:val="00236BCE"/>
    <w:rsid w:val="00297E18"/>
    <w:rsid w:val="002A5014"/>
    <w:rsid w:val="002B39A0"/>
    <w:rsid w:val="002D07D7"/>
    <w:rsid w:val="002D1780"/>
    <w:rsid w:val="003008C6"/>
    <w:rsid w:val="00307A3E"/>
    <w:rsid w:val="0035063A"/>
    <w:rsid w:val="00350C0D"/>
    <w:rsid w:val="003537EB"/>
    <w:rsid w:val="00366725"/>
    <w:rsid w:val="003A6015"/>
    <w:rsid w:val="003C48D4"/>
    <w:rsid w:val="003F3FA6"/>
    <w:rsid w:val="00405DB2"/>
    <w:rsid w:val="00425674"/>
    <w:rsid w:val="00433831"/>
    <w:rsid w:val="0047552E"/>
    <w:rsid w:val="004B4DDD"/>
    <w:rsid w:val="004D72F0"/>
    <w:rsid w:val="005110F9"/>
    <w:rsid w:val="0051309F"/>
    <w:rsid w:val="00520E03"/>
    <w:rsid w:val="00545DB7"/>
    <w:rsid w:val="00576636"/>
    <w:rsid w:val="005815B8"/>
    <w:rsid w:val="005A0ECC"/>
    <w:rsid w:val="005B14E1"/>
    <w:rsid w:val="00625958"/>
    <w:rsid w:val="00665B64"/>
    <w:rsid w:val="00667ED1"/>
    <w:rsid w:val="006832ED"/>
    <w:rsid w:val="006B03A5"/>
    <w:rsid w:val="00704AF6"/>
    <w:rsid w:val="0072314F"/>
    <w:rsid w:val="007559B0"/>
    <w:rsid w:val="007825A2"/>
    <w:rsid w:val="00791919"/>
    <w:rsid w:val="007A6941"/>
    <w:rsid w:val="007B0351"/>
    <w:rsid w:val="007B228E"/>
    <w:rsid w:val="007C3EC6"/>
    <w:rsid w:val="00800816"/>
    <w:rsid w:val="00804E0D"/>
    <w:rsid w:val="00811842"/>
    <w:rsid w:val="00812669"/>
    <w:rsid w:val="00842FCB"/>
    <w:rsid w:val="008475F2"/>
    <w:rsid w:val="00847F20"/>
    <w:rsid w:val="008A1C89"/>
    <w:rsid w:val="008C3D9F"/>
    <w:rsid w:val="008E595C"/>
    <w:rsid w:val="00901F44"/>
    <w:rsid w:val="00902C96"/>
    <w:rsid w:val="00906C6F"/>
    <w:rsid w:val="00912863"/>
    <w:rsid w:val="00917912"/>
    <w:rsid w:val="009203A5"/>
    <w:rsid w:val="00965D08"/>
    <w:rsid w:val="00976AE9"/>
    <w:rsid w:val="009802F7"/>
    <w:rsid w:val="00981C47"/>
    <w:rsid w:val="0099558D"/>
    <w:rsid w:val="009C6A4F"/>
    <w:rsid w:val="009E37D1"/>
    <w:rsid w:val="00A00273"/>
    <w:rsid w:val="00A01658"/>
    <w:rsid w:val="00A32451"/>
    <w:rsid w:val="00A53AFB"/>
    <w:rsid w:val="00A872C5"/>
    <w:rsid w:val="00A87D42"/>
    <w:rsid w:val="00AA0005"/>
    <w:rsid w:val="00AA12A4"/>
    <w:rsid w:val="00AA5380"/>
    <w:rsid w:val="00AD1EBB"/>
    <w:rsid w:val="00AE1027"/>
    <w:rsid w:val="00AE4966"/>
    <w:rsid w:val="00AF31BA"/>
    <w:rsid w:val="00B27941"/>
    <w:rsid w:val="00B511D7"/>
    <w:rsid w:val="00B674C2"/>
    <w:rsid w:val="00B81752"/>
    <w:rsid w:val="00B87544"/>
    <w:rsid w:val="00B90A00"/>
    <w:rsid w:val="00B94F41"/>
    <w:rsid w:val="00C05144"/>
    <w:rsid w:val="00C302FD"/>
    <w:rsid w:val="00C366AA"/>
    <w:rsid w:val="00C36E97"/>
    <w:rsid w:val="00C6149F"/>
    <w:rsid w:val="00C84734"/>
    <w:rsid w:val="00CA0C7B"/>
    <w:rsid w:val="00CC4589"/>
    <w:rsid w:val="00CE2C80"/>
    <w:rsid w:val="00CE5A10"/>
    <w:rsid w:val="00CF30DA"/>
    <w:rsid w:val="00CF34DA"/>
    <w:rsid w:val="00D852A5"/>
    <w:rsid w:val="00D936E6"/>
    <w:rsid w:val="00DE2D0F"/>
    <w:rsid w:val="00E063FD"/>
    <w:rsid w:val="00E16006"/>
    <w:rsid w:val="00E548FC"/>
    <w:rsid w:val="00E65556"/>
    <w:rsid w:val="00E73067"/>
    <w:rsid w:val="00E845ED"/>
    <w:rsid w:val="00ED0764"/>
    <w:rsid w:val="00EE008A"/>
    <w:rsid w:val="00EE09DB"/>
    <w:rsid w:val="00F010E3"/>
    <w:rsid w:val="00F113C6"/>
    <w:rsid w:val="00F51D0D"/>
    <w:rsid w:val="00F71F61"/>
    <w:rsid w:val="00F82172"/>
    <w:rsid w:val="00F92F9E"/>
    <w:rsid w:val="00FC2FAA"/>
    <w:rsid w:val="00FC574E"/>
    <w:rsid w:val="00FD4180"/>
    <w:rsid w:val="00FF253E"/>
    <w:rsid w:val="00FF6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character" w:styleId="FollowedHyperlink">
    <w:name w:val="FollowedHyperlink"/>
    <w:basedOn w:val="DefaultParagraphFont"/>
    <w:uiPriority w:val="99"/>
    <w:semiHidden/>
    <w:unhideWhenUsed/>
    <w:rsid w:val="000F57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9879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jpmorgan.com/jpmpdf/1320748009298.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jpmorgan.com/jpmpdf/1320748009298.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jpmpdf/1320748009298.pdf" TargetMode="External"/><Relationship Id="rId5" Type="http://schemas.openxmlformats.org/officeDocument/2006/relationships/settings" Target="settings.xml"/><Relationship Id="rId15" Type="http://schemas.openxmlformats.org/officeDocument/2006/relationships/hyperlink" Target="https://www.jpmorgan.com/jpmpdf/1320748009298.pdf" TargetMode="External"/><Relationship Id="rId10" Type="http://schemas.openxmlformats.org/officeDocument/2006/relationships/hyperlink" Target="https://www.jpmorgan.com/jpmpdf/1320748009298.pdf" TargetMode="External"/><Relationship Id="rId4" Type="http://schemas.openxmlformats.org/officeDocument/2006/relationships/styles" Target="styles.xml"/><Relationship Id="rId9" Type="http://schemas.openxmlformats.org/officeDocument/2006/relationships/hyperlink" Target="https://www.jpmorgan.com/jpmpdf/1320748009327.pdf" TargetMode="External"/><Relationship Id="rId14" Type="http://schemas.openxmlformats.org/officeDocument/2006/relationships/hyperlink" Target="https://www.jpmorgan.com/jpmpdf/132074800929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F76D8B-43B5-46C3-A227-194D6931E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C9EF6F-1977-4A69-ACE8-409F928964A2}">
  <ds:schemaRefs>
    <ds:schemaRef ds:uri="http://schemas.openxmlformats.org/package/2006/metadata/core-properties"/>
    <ds:schemaRef ds:uri="http://schemas.microsoft.com/office/2006/documentManagement/types"/>
    <ds:schemaRef ds:uri="7d1f7825-6765-4743-817d-89ed4ea58d40"/>
    <ds:schemaRef ds:uri="http://www.w3.org/XML/1998/namespace"/>
    <ds:schemaRef ds:uri="http://purl.org/dc/term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639F9B0-EA48-4A19-89DA-F2D479B4F2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2367</Words>
  <Characters>13495</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15831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 (CIB OPS, GBR)</cp:lastModifiedBy>
  <cp:revision>2</cp:revision>
  <dcterms:created xsi:type="dcterms:W3CDTF">2020-04-30T09:51:00Z</dcterms:created>
  <dcterms:modified xsi:type="dcterms:W3CDTF">2020-04-30T09:51:00Z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